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E32EA" w14:textId="513EC414" w:rsidR="00A76F2E" w:rsidRPr="000D0156" w:rsidRDefault="001D0F7B" w:rsidP="001D0F7B">
      <w:pPr>
        <w:jc w:val="right"/>
        <w:rPr>
          <w:sz w:val="16"/>
        </w:rPr>
      </w:pPr>
      <w:r w:rsidRPr="000D0156">
        <w:rPr>
          <w:sz w:val="16"/>
        </w:rPr>
        <w:t xml:space="preserve">DATUM: </w:t>
      </w:r>
      <w:r w:rsidR="00B64098" w:rsidRPr="0096275A">
        <w:rPr>
          <w:sz w:val="16"/>
        </w:rPr>
        <w:t>16</w:t>
      </w:r>
      <w:r w:rsidRPr="000D0156">
        <w:rPr>
          <w:sz w:val="16"/>
        </w:rPr>
        <w:t xml:space="preserve">. </w:t>
      </w:r>
      <w:r w:rsidR="009C3B4B">
        <w:rPr>
          <w:sz w:val="16"/>
        </w:rPr>
        <w:t>července</w:t>
      </w:r>
      <w:r w:rsidRPr="000D0156">
        <w:rPr>
          <w:sz w:val="16"/>
        </w:rPr>
        <w:t xml:space="preserve"> 2019</w:t>
      </w:r>
    </w:p>
    <w:p w14:paraId="48E3FCCB" w14:textId="77777777" w:rsidR="00317634" w:rsidRDefault="00317634" w:rsidP="00317634">
      <w:pPr>
        <w:jc w:val="center"/>
        <w:rPr>
          <w:b/>
          <w:sz w:val="30"/>
        </w:rPr>
      </w:pPr>
    </w:p>
    <w:p w14:paraId="6D65E404" w14:textId="1C718D7B" w:rsidR="009C3B4B" w:rsidRPr="00307F11" w:rsidRDefault="0096275A" w:rsidP="009C3B4B">
      <w:pPr>
        <w:jc w:val="center"/>
        <w:rPr>
          <w:b/>
          <w:sz w:val="32"/>
        </w:rPr>
      </w:pPr>
      <w:r>
        <w:rPr>
          <w:b/>
          <w:sz w:val="32"/>
        </w:rPr>
        <w:t>Oproti Praze b</w:t>
      </w:r>
      <w:r w:rsidR="009C3B4B" w:rsidRPr="00307F11">
        <w:rPr>
          <w:b/>
          <w:sz w:val="32"/>
        </w:rPr>
        <w:t>yty v Brně dál zdražují</w:t>
      </w:r>
      <w:r w:rsidR="00307F11">
        <w:rPr>
          <w:b/>
          <w:sz w:val="32"/>
        </w:rPr>
        <w:t xml:space="preserve">, </w:t>
      </w:r>
      <w:r w:rsidR="004A5E96">
        <w:rPr>
          <w:b/>
          <w:sz w:val="32"/>
        </w:rPr>
        <w:t>zájem o ně</w:t>
      </w:r>
      <w:r w:rsidR="00307F11">
        <w:rPr>
          <w:b/>
          <w:sz w:val="32"/>
        </w:rPr>
        <w:t xml:space="preserve"> ale neklesá</w:t>
      </w:r>
    </w:p>
    <w:p w14:paraId="78E95959" w14:textId="77777777" w:rsidR="004C02D6" w:rsidRDefault="004C02D6" w:rsidP="002D6433">
      <w:pPr>
        <w:rPr>
          <w:sz w:val="18"/>
        </w:rPr>
      </w:pPr>
    </w:p>
    <w:p w14:paraId="2B159AC1" w14:textId="77777777" w:rsidR="009C3B4B" w:rsidRPr="00B807BA" w:rsidRDefault="009C3B4B" w:rsidP="003E28C6">
      <w:pPr>
        <w:jc w:val="both"/>
        <w:rPr>
          <w:b/>
        </w:rPr>
      </w:pPr>
      <w:r w:rsidRPr="00B807BA">
        <w:rPr>
          <w:b/>
        </w:rPr>
        <w:t>Průměrná</w:t>
      </w:r>
      <w:r w:rsidR="00050987" w:rsidRPr="00B807BA">
        <w:rPr>
          <w:b/>
        </w:rPr>
        <w:t xml:space="preserve"> cena </w:t>
      </w:r>
      <w:r w:rsidR="007957F7" w:rsidRPr="00B807BA">
        <w:rPr>
          <w:b/>
        </w:rPr>
        <w:t>za metr čtvereční bytu</w:t>
      </w:r>
      <w:r w:rsidRPr="00B807BA">
        <w:rPr>
          <w:b/>
        </w:rPr>
        <w:t xml:space="preserve"> v</w:t>
      </w:r>
      <w:r w:rsidR="00050987" w:rsidRPr="00B807BA">
        <w:rPr>
          <w:b/>
        </w:rPr>
        <w:t xml:space="preserve"> brněnských novostavbách </w:t>
      </w:r>
      <w:r w:rsidRPr="00B807BA">
        <w:rPr>
          <w:b/>
        </w:rPr>
        <w:t xml:space="preserve">poprvé v historii přesáhla 80 tisíc korun. </w:t>
      </w:r>
      <w:r w:rsidR="003E28C6" w:rsidRPr="00B807BA">
        <w:rPr>
          <w:b/>
        </w:rPr>
        <w:t>Na</w:t>
      </w:r>
      <w:r w:rsidR="00B64098" w:rsidRPr="00B807BA">
        <w:rPr>
          <w:b/>
        </w:rPr>
        <w:t xml:space="preserve"> nový</w:t>
      </w:r>
      <w:r w:rsidR="003E28C6" w:rsidRPr="00B807BA">
        <w:rPr>
          <w:b/>
        </w:rPr>
        <w:t xml:space="preserve"> </w:t>
      </w:r>
      <w:r w:rsidR="00050987" w:rsidRPr="00B807BA">
        <w:rPr>
          <w:b/>
        </w:rPr>
        <w:t>šedesátimetrový byt teď</w:t>
      </w:r>
      <w:r w:rsidR="00126CBB" w:rsidRPr="00B807BA">
        <w:rPr>
          <w:b/>
        </w:rPr>
        <w:t xml:space="preserve"> </w:t>
      </w:r>
      <w:r w:rsidR="003E28C6" w:rsidRPr="00B807BA">
        <w:rPr>
          <w:b/>
        </w:rPr>
        <w:t>musí zájemci našetřit</w:t>
      </w:r>
      <w:r w:rsidR="00050987" w:rsidRPr="00B807BA">
        <w:rPr>
          <w:b/>
        </w:rPr>
        <w:t xml:space="preserve"> průměrně</w:t>
      </w:r>
      <w:r w:rsidR="00836300" w:rsidRPr="00B807BA">
        <w:rPr>
          <w:b/>
        </w:rPr>
        <w:t xml:space="preserve"> </w:t>
      </w:r>
      <w:r w:rsidR="00B64098" w:rsidRPr="00B807BA">
        <w:rPr>
          <w:b/>
        </w:rPr>
        <w:t xml:space="preserve">4,86 milionu korun, </w:t>
      </w:r>
      <w:r w:rsidR="00E845D5" w:rsidRPr="00B807BA">
        <w:rPr>
          <w:b/>
        </w:rPr>
        <w:t>s</w:t>
      </w:r>
      <w:r w:rsidR="007957F7" w:rsidRPr="00B807BA">
        <w:rPr>
          <w:b/>
        </w:rPr>
        <w:t>t</w:t>
      </w:r>
      <w:r w:rsidR="00E845D5" w:rsidRPr="00B807BA">
        <w:rPr>
          <w:b/>
        </w:rPr>
        <w:t>oupají</w:t>
      </w:r>
      <w:r w:rsidR="00B64098" w:rsidRPr="00B807BA">
        <w:rPr>
          <w:b/>
        </w:rPr>
        <w:t xml:space="preserve"> ale</w:t>
      </w:r>
      <w:r w:rsidR="00E845D5" w:rsidRPr="00B807BA">
        <w:rPr>
          <w:b/>
        </w:rPr>
        <w:t xml:space="preserve"> i ceny starších bytů. </w:t>
      </w:r>
      <w:r w:rsidR="00050987" w:rsidRPr="00B807BA">
        <w:rPr>
          <w:b/>
        </w:rPr>
        <w:t xml:space="preserve">Ceny rostou, protože se </w:t>
      </w:r>
      <w:r w:rsidR="00B64098" w:rsidRPr="00B807BA">
        <w:rPr>
          <w:b/>
        </w:rPr>
        <w:t xml:space="preserve">stále </w:t>
      </w:r>
      <w:r w:rsidR="007957F7" w:rsidRPr="00B807BA">
        <w:rPr>
          <w:b/>
        </w:rPr>
        <w:t xml:space="preserve">staví </w:t>
      </w:r>
      <w:r w:rsidR="00050987" w:rsidRPr="00B807BA">
        <w:rPr>
          <w:b/>
        </w:rPr>
        <w:t>velmi málo</w:t>
      </w:r>
      <w:r w:rsidR="00B64098" w:rsidRPr="00B807BA">
        <w:rPr>
          <w:b/>
        </w:rPr>
        <w:t>. Za to mohou</w:t>
      </w:r>
      <w:r w:rsidR="00307F11" w:rsidRPr="00B807BA">
        <w:rPr>
          <w:b/>
        </w:rPr>
        <w:t xml:space="preserve"> </w:t>
      </w:r>
      <w:r w:rsidR="007957F7" w:rsidRPr="00B807BA">
        <w:rPr>
          <w:b/>
        </w:rPr>
        <w:t xml:space="preserve">pomalé úřady i </w:t>
      </w:r>
      <w:r w:rsidR="003E28C6" w:rsidRPr="00B807BA">
        <w:rPr>
          <w:b/>
        </w:rPr>
        <w:t xml:space="preserve">nedostatek pracovních sil ve </w:t>
      </w:r>
      <w:r w:rsidR="00836300" w:rsidRPr="00B807BA">
        <w:rPr>
          <w:b/>
        </w:rPr>
        <w:t>stavebnictví</w:t>
      </w:r>
      <w:r w:rsidR="003E28C6" w:rsidRPr="00B807BA">
        <w:rPr>
          <w:b/>
        </w:rPr>
        <w:t xml:space="preserve">. </w:t>
      </w:r>
      <w:r w:rsidR="00050987" w:rsidRPr="00B807BA">
        <w:rPr>
          <w:b/>
        </w:rPr>
        <w:t>Poptávka po nových bytech ale ani přes vyšší ceny neuvadá. Za prvních šest měsíců roku 2019 byly prodeje dokonce dvojnásobně vysok</w:t>
      </w:r>
      <w:r w:rsidR="00E845D5" w:rsidRPr="00B807BA">
        <w:rPr>
          <w:b/>
        </w:rPr>
        <w:t>é</w:t>
      </w:r>
      <w:r w:rsidR="00050987" w:rsidRPr="00B807BA">
        <w:rPr>
          <w:b/>
        </w:rPr>
        <w:t xml:space="preserve"> než </w:t>
      </w:r>
      <w:r w:rsidR="00B64098" w:rsidRPr="00B807BA">
        <w:rPr>
          <w:b/>
        </w:rPr>
        <w:t>za</w:t>
      </w:r>
      <w:r w:rsidR="00E845D5" w:rsidRPr="00B807BA">
        <w:rPr>
          <w:b/>
        </w:rPr>
        <w:t xml:space="preserve"> stejnou dobu </w:t>
      </w:r>
      <w:r w:rsidR="00050987" w:rsidRPr="00B807BA">
        <w:rPr>
          <w:b/>
        </w:rPr>
        <w:t>lon</w:t>
      </w:r>
      <w:r w:rsidR="007957F7" w:rsidRPr="00B807BA">
        <w:rPr>
          <w:b/>
        </w:rPr>
        <w:t>i, v</w:t>
      </w:r>
      <w:r w:rsidR="00050987" w:rsidRPr="00B807BA">
        <w:rPr>
          <w:b/>
        </w:rPr>
        <w:t xml:space="preserve">yplývá z analýzy společnosti Trikaya. </w:t>
      </w:r>
    </w:p>
    <w:p w14:paraId="76DE957B" w14:textId="77777777" w:rsidR="009C3B4B" w:rsidRPr="00CC35E2" w:rsidRDefault="009C3B4B" w:rsidP="00CC35E2">
      <w:pPr>
        <w:jc w:val="both"/>
        <w:rPr>
          <w:b/>
          <w:sz w:val="18"/>
        </w:rPr>
      </w:pPr>
    </w:p>
    <w:p w14:paraId="541998CD" w14:textId="7C868979" w:rsidR="009C3B4B" w:rsidRPr="00B807BA" w:rsidRDefault="009C3B4B" w:rsidP="009C3B4B">
      <w:pPr>
        <w:jc w:val="both"/>
        <w:rPr>
          <w:szCs w:val="20"/>
        </w:rPr>
      </w:pPr>
      <w:r w:rsidRPr="00B807BA">
        <w:rPr>
          <w:szCs w:val="20"/>
        </w:rPr>
        <w:t>Ceny bytů v Brně se</w:t>
      </w:r>
      <w:r w:rsidR="00E845D5" w:rsidRPr="00B807BA">
        <w:rPr>
          <w:szCs w:val="20"/>
        </w:rPr>
        <w:t xml:space="preserve"> oproti</w:t>
      </w:r>
      <w:r w:rsidRPr="00B807BA">
        <w:rPr>
          <w:szCs w:val="20"/>
        </w:rPr>
        <w:t xml:space="preserve"> očekávání analytiků dál zvedají. Za </w:t>
      </w:r>
      <w:r w:rsidR="00126CBB" w:rsidRPr="00B807BA">
        <w:rPr>
          <w:szCs w:val="20"/>
        </w:rPr>
        <w:t>metr čtvereční v novém</w:t>
      </w:r>
      <w:r w:rsidRPr="00B807BA">
        <w:rPr>
          <w:szCs w:val="20"/>
        </w:rPr>
        <w:t xml:space="preserve"> byt</w:t>
      </w:r>
      <w:r w:rsidR="00126CBB" w:rsidRPr="00B807BA">
        <w:rPr>
          <w:szCs w:val="20"/>
        </w:rPr>
        <w:t>ě</w:t>
      </w:r>
      <w:r w:rsidRPr="00B807BA">
        <w:rPr>
          <w:szCs w:val="20"/>
        </w:rPr>
        <w:t xml:space="preserve"> zájemci </w:t>
      </w:r>
      <w:r w:rsidR="00E845D5" w:rsidRPr="00B807BA">
        <w:rPr>
          <w:szCs w:val="20"/>
        </w:rPr>
        <w:t xml:space="preserve">právě teď </w:t>
      </w:r>
      <w:r w:rsidRPr="00B807BA">
        <w:rPr>
          <w:szCs w:val="20"/>
        </w:rPr>
        <w:t>zaplatí</w:t>
      </w:r>
      <w:r w:rsidR="00E845D5" w:rsidRPr="00B807BA">
        <w:rPr>
          <w:szCs w:val="20"/>
        </w:rPr>
        <w:t xml:space="preserve"> průměrně</w:t>
      </w:r>
      <w:r w:rsidRPr="00B807BA">
        <w:rPr>
          <w:szCs w:val="20"/>
        </w:rPr>
        <w:t xml:space="preserve"> 80 583 korun. Zdražování nezastavila ani </w:t>
      </w:r>
      <w:r w:rsidR="00E845D5" w:rsidRPr="00B807BA">
        <w:rPr>
          <w:szCs w:val="20"/>
        </w:rPr>
        <w:t>větší</w:t>
      </w:r>
      <w:r w:rsidRPr="00B807BA">
        <w:rPr>
          <w:szCs w:val="20"/>
        </w:rPr>
        <w:t xml:space="preserve"> nabídka bytů v nových domech sídlištního typu, které šly nedávno do prodeje. </w:t>
      </w:r>
      <w:r w:rsidRPr="00B807BA">
        <w:rPr>
          <w:i/>
          <w:szCs w:val="20"/>
        </w:rPr>
        <w:t xml:space="preserve">„Na růstu cen bydlení se </w:t>
      </w:r>
      <w:r w:rsidR="008B1832" w:rsidRPr="00B807BA">
        <w:rPr>
          <w:i/>
          <w:szCs w:val="20"/>
        </w:rPr>
        <w:t>podepisuje</w:t>
      </w:r>
      <w:r w:rsidRPr="00B807BA">
        <w:rPr>
          <w:i/>
          <w:szCs w:val="20"/>
        </w:rPr>
        <w:t xml:space="preserve"> hned několik faktorů, od rostoucích cen pozemků a stavebních prací</w:t>
      </w:r>
      <w:r w:rsidR="00177B18" w:rsidRPr="00B807BA">
        <w:rPr>
          <w:i/>
          <w:szCs w:val="20"/>
        </w:rPr>
        <w:t xml:space="preserve"> a materiálů</w:t>
      </w:r>
      <w:r w:rsidRPr="00B807BA">
        <w:rPr>
          <w:i/>
          <w:szCs w:val="20"/>
        </w:rPr>
        <w:t xml:space="preserve"> přes zastaralý územní plán a složitou byrokracii při povolování staveb</w:t>
      </w:r>
      <w:r w:rsidR="00EB4539" w:rsidRPr="00B807BA">
        <w:rPr>
          <w:i/>
          <w:szCs w:val="20"/>
        </w:rPr>
        <w:t xml:space="preserve"> </w:t>
      </w:r>
      <w:r w:rsidRPr="00B807BA">
        <w:rPr>
          <w:i/>
          <w:szCs w:val="20"/>
        </w:rPr>
        <w:t>až po vysoké daňové zatížení a přísné normy výstavb</w:t>
      </w:r>
      <w:r w:rsidR="008B5965" w:rsidRPr="00B807BA">
        <w:rPr>
          <w:i/>
          <w:szCs w:val="20"/>
        </w:rPr>
        <w:t>y</w:t>
      </w:r>
      <w:r w:rsidRPr="00B807BA">
        <w:rPr>
          <w:i/>
          <w:szCs w:val="20"/>
        </w:rPr>
        <w:t>,“</w:t>
      </w:r>
      <w:r w:rsidRPr="00B807BA">
        <w:rPr>
          <w:szCs w:val="20"/>
        </w:rPr>
        <w:t xml:space="preserve"> vysvětluje Alexej Veselý, výkonný ředitel společnosti Trikaya.</w:t>
      </w:r>
      <w:r w:rsidR="002D5693" w:rsidRPr="00B807BA">
        <w:rPr>
          <w:szCs w:val="20"/>
        </w:rPr>
        <w:t xml:space="preserve"> Podle dat společnosti Skanska se </w:t>
      </w:r>
      <w:r w:rsidR="00307F11" w:rsidRPr="00B807BA">
        <w:rPr>
          <w:szCs w:val="20"/>
        </w:rPr>
        <w:t>například</w:t>
      </w:r>
      <w:r w:rsidR="002D5693" w:rsidRPr="00B807BA">
        <w:rPr>
          <w:szCs w:val="20"/>
        </w:rPr>
        <w:t xml:space="preserve"> ceny zdiva</w:t>
      </w:r>
      <w:r w:rsidR="00307F11" w:rsidRPr="00B807BA">
        <w:rPr>
          <w:szCs w:val="20"/>
        </w:rPr>
        <w:t xml:space="preserve"> zvýšily o 12 až 20 </w:t>
      </w:r>
      <w:r w:rsidR="00CF2CD3" w:rsidRPr="00B807BA">
        <w:rPr>
          <w:szCs w:val="20"/>
        </w:rPr>
        <w:t xml:space="preserve">% </w:t>
      </w:r>
      <w:r w:rsidR="002D5693" w:rsidRPr="00B807BA">
        <w:rPr>
          <w:szCs w:val="20"/>
        </w:rPr>
        <w:t xml:space="preserve">podle druhu, a jak uvádí společnost CEEC </w:t>
      </w:r>
      <w:proofErr w:type="spellStart"/>
      <w:r w:rsidR="002D5693" w:rsidRPr="00B807BA">
        <w:rPr>
          <w:szCs w:val="20"/>
        </w:rPr>
        <w:t>Research</w:t>
      </w:r>
      <w:proofErr w:type="spellEnd"/>
      <w:r w:rsidR="00177B18" w:rsidRPr="00B807BA">
        <w:rPr>
          <w:szCs w:val="20"/>
        </w:rPr>
        <w:t>,</w:t>
      </w:r>
      <w:r w:rsidR="002D5693" w:rsidRPr="00B807BA">
        <w:rPr>
          <w:szCs w:val="20"/>
        </w:rPr>
        <w:t xml:space="preserve"> vytíženost stavebních firem je na úrovni 94 %.</w:t>
      </w:r>
      <w:r w:rsidR="00307F11" w:rsidRPr="00B807BA">
        <w:rPr>
          <w:szCs w:val="20"/>
        </w:rPr>
        <w:t xml:space="preserve"> To vše se do cen nemovitostí </w:t>
      </w:r>
      <w:r w:rsidR="00177B18" w:rsidRPr="00B807BA">
        <w:rPr>
          <w:szCs w:val="20"/>
        </w:rPr>
        <w:t xml:space="preserve">nepřímo </w:t>
      </w:r>
      <w:r w:rsidR="00307F11" w:rsidRPr="00B807BA">
        <w:rPr>
          <w:szCs w:val="20"/>
        </w:rPr>
        <w:t>promítá.</w:t>
      </w:r>
    </w:p>
    <w:p w14:paraId="7507D9E5" w14:textId="77777777" w:rsidR="00250265" w:rsidRPr="008B3E12" w:rsidRDefault="00250265" w:rsidP="000420BC">
      <w:pPr>
        <w:rPr>
          <w:sz w:val="20"/>
          <w:szCs w:val="20"/>
        </w:rPr>
      </w:pPr>
    </w:p>
    <w:p w14:paraId="493F15D6" w14:textId="77777777" w:rsidR="00250265" w:rsidRPr="008B3E12" w:rsidRDefault="009C3B4B" w:rsidP="000420BC">
      <w:pPr>
        <w:rPr>
          <w:sz w:val="20"/>
          <w:szCs w:val="20"/>
        </w:rPr>
      </w:pPr>
      <w:r w:rsidRPr="008B3E12">
        <w:rPr>
          <w:rFonts w:ascii="Times New Roman" w:hAnsi="Times New Roman" w:cs="Times New Roman"/>
          <w:noProof/>
          <w:sz w:val="20"/>
          <w:szCs w:val="20"/>
          <w:lang w:eastAsia="cs-CZ"/>
        </w:rPr>
        <w:drawing>
          <wp:inline distT="0" distB="0" distL="0" distR="0" wp14:anchorId="23660FC6" wp14:editId="1A74CEBE">
            <wp:extent cx="5759450" cy="2609850"/>
            <wp:effectExtent l="0" t="0" r="12700" b="0"/>
            <wp:docPr id="1" name="Graf 1">
              <a:extLst xmlns:a="http://schemas.openxmlformats.org/drawingml/2006/main">
                <a:ext uri="{FF2B5EF4-FFF2-40B4-BE49-F238E27FC236}">
                  <a16:creationId xmlns:a16="http://schemas.microsoft.com/office/drawing/2014/main" id="{F0493D31-3D99-445C-B529-72FCD80634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4357F19" w14:textId="1F8D09D0" w:rsidR="009C3B4B" w:rsidRDefault="009C3B4B" w:rsidP="009C3B4B">
      <w:pPr>
        <w:jc w:val="both"/>
        <w:rPr>
          <w:sz w:val="20"/>
          <w:szCs w:val="20"/>
        </w:rPr>
      </w:pPr>
    </w:p>
    <w:p w14:paraId="00BE24DE" w14:textId="77777777" w:rsidR="003B370D" w:rsidRPr="008B3E12" w:rsidRDefault="003B370D" w:rsidP="009C3B4B">
      <w:pPr>
        <w:jc w:val="both"/>
        <w:rPr>
          <w:sz w:val="20"/>
          <w:szCs w:val="20"/>
        </w:rPr>
      </w:pPr>
    </w:p>
    <w:p w14:paraId="7F527A8A" w14:textId="4B4D7921" w:rsidR="00BA3C90" w:rsidRPr="00B807BA" w:rsidRDefault="0017396E" w:rsidP="0096275A">
      <w:pPr>
        <w:spacing w:after="120"/>
        <w:rPr>
          <w:b/>
          <w:bCs/>
          <w:szCs w:val="20"/>
        </w:rPr>
      </w:pPr>
      <w:r w:rsidRPr="00B807BA">
        <w:rPr>
          <w:b/>
          <w:bCs/>
          <w:szCs w:val="20"/>
        </w:rPr>
        <w:lastRenderedPageBreak/>
        <w:t>Na kolik přijde byt v brněnské novostavbě?</w:t>
      </w:r>
    </w:p>
    <w:p w14:paraId="1A33FE04" w14:textId="63910916" w:rsidR="009C3B4B" w:rsidRPr="00B807BA" w:rsidRDefault="00E845D5" w:rsidP="009C3B4B">
      <w:pPr>
        <w:jc w:val="both"/>
        <w:rPr>
          <w:szCs w:val="20"/>
        </w:rPr>
      </w:pPr>
      <w:r w:rsidRPr="00B807BA">
        <w:rPr>
          <w:szCs w:val="20"/>
        </w:rPr>
        <w:t>Ceny bytů v nabídce</w:t>
      </w:r>
      <w:r w:rsidR="009C3B4B" w:rsidRPr="00B807BA">
        <w:rPr>
          <w:szCs w:val="20"/>
        </w:rPr>
        <w:t xml:space="preserve"> se meziročně zvedly téměř </w:t>
      </w:r>
      <w:r w:rsidRPr="00B807BA">
        <w:rPr>
          <w:szCs w:val="20"/>
        </w:rPr>
        <w:t xml:space="preserve">o </w:t>
      </w:r>
      <w:r w:rsidR="009C3B4B" w:rsidRPr="00B807BA">
        <w:rPr>
          <w:szCs w:val="20"/>
        </w:rPr>
        <w:t>13 %. Na</w:t>
      </w:r>
      <w:r w:rsidR="00386F66" w:rsidRPr="00B807BA">
        <w:rPr>
          <w:szCs w:val="20"/>
        </w:rPr>
        <w:t xml:space="preserve"> průměrný</w:t>
      </w:r>
      <w:r w:rsidR="009C3B4B" w:rsidRPr="00B807BA">
        <w:rPr>
          <w:szCs w:val="20"/>
        </w:rPr>
        <w:t xml:space="preserve"> jednopokojový byt tak zájemci musí našetřit 3,1 milionu korun, na dvoupokojový pak 4,4 milion</w:t>
      </w:r>
      <w:r w:rsidRPr="00B807BA">
        <w:rPr>
          <w:szCs w:val="20"/>
        </w:rPr>
        <w:t>u</w:t>
      </w:r>
      <w:r w:rsidR="009C3B4B" w:rsidRPr="00B807BA">
        <w:rPr>
          <w:szCs w:val="20"/>
        </w:rPr>
        <w:t>. Byty se třemi pokoji a kuchyní vyjdou rodiny na 6,4 milion</w:t>
      </w:r>
      <w:r w:rsidR="00386F66" w:rsidRPr="00B807BA">
        <w:rPr>
          <w:szCs w:val="20"/>
        </w:rPr>
        <w:t>u</w:t>
      </w:r>
      <w:r w:rsidR="009C3B4B" w:rsidRPr="00B807BA">
        <w:rPr>
          <w:szCs w:val="20"/>
        </w:rPr>
        <w:t xml:space="preserve"> korun a byty čtyřpokojové a větší v průměru dokonce na téměř </w:t>
      </w:r>
      <w:r w:rsidR="00CF2CD3" w:rsidRPr="00B807BA">
        <w:rPr>
          <w:szCs w:val="20"/>
        </w:rPr>
        <w:t>deset</w:t>
      </w:r>
      <w:r w:rsidR="009C3B4B" w:rsidRPr="00B807BA">
        <w:rPr>
          <w:szCs w:val="20"/>
        </w:rPr>
        <w:t xml:space="preserve"> milionů. Oproti běžné situaci na trhu jsou aktuálně nejvýhodnější garsoniéry, kde zájemci za metr čtvereční zaplatí 79 300 korun. </w:t>
      </w:r>
      <w:r w:rsidR="008B3E12" w:rsidRPr="00B807BA">
        <w:rPr>
          <w:i/>
          <w:szCs w:val="20"/>
        </w:rPr>
        <w:t xml:space="preserve">„V příštích měsících očekáváme stále pozvolný růst cen nových bytů i zdražování pronájmů. Pokles ceny bude spíše </w:t>
      </w:r>
      <w:r w:rsidR="0096275A" w:rsidRPr="00B807BA">
        <w:rPr>
          <w:i/>
          <w:szCs w:val="20"/>
        </w:rPr>
        <w:t>ojedinělý</w:t>
      </w:r>
      <w:r w:rsidR="008B3E12" w:rsidRPr="00B807BA">
        <w:rPr>
          <w:i/>
          <w:szCs w:val="20"/>
        </w:rPr>
        <w:t>, a to v případech, kdy se prodávajícím nebude dařit konkrétní nemovitost prodat,“</w:t>
      </w:r>
      <w:r w:rsidR="008B3E12" w:rsidRPr="00B807BA">
        <w:rPr>
          <w:szCs w:val="20"/>
        </w:rPr>
        <w:t xml:space="preserve"> říká František Šudřich, obchodní ředitel společnosti Trikaya.</w:t>
      </w:r>
    </w:p>
    <w:p w14:paraId="76B62169" w14:textId="77777777" w:rsidR="00CF2CD3" w:rsidRPr="00B807BA" w:rsidRDefault="00CF2CD3" w:rsidP="009C3B4B">
      <w:pPr>
        <w:jc w:val="both"/>
        <w:rPr>
          <w:szCs w:val="20"/>
        </w:rPr>
      </w:pPr>
    </w:p>
    <w:p w14:paraId="608B7BC9" w14:textId="72930721" w:rsidR="00520898" w:rsidRDefault="00520898" w:rsidP="00520898">
      <w:pPr>
        <w:spacing w:before="240"/>
        <w:jc w:val="center"/>
        <w:rPr>
          <w:color w:val="808080" w:themeColor="background1" w:themeShade="80"/>
        </w:rPr>
      </w:pPr>
      <w:r w:rsidRPr="00FD5F2A">
        <w:rPr>
          <w:color w:val="808080" w:themeColor="background1" w:themeShade="80"/>
        </w:rPr>
        <w:t>Průměrné ceny bytů v nabídce k </w:t>
      </w:r>
      <w:r>
        <w:rPr>
          <w:color w:val="808080" w:themeColor="background1" w:themeShade="80"/>
        </w:rPr>
        <w:t>červenci</w:t>
      </w:r>
      <w:r w:rsidRPr="00FD5F2A">
        <w:rPr>
          <w:color w:val="808080" w:themeColor="background1" w:themeShade="80"/>
        </w:rPr>
        <w:t xml:space="preserve"> 2019</w:t>
      </w:r>
      <w:r>
        <w:rPr>
          <w:color w:val="808080" w:themeColor="background1" w:themeShade="80"/>
        </w:rPr>
        <w:t xml:space="preserve"> dle dispozic</w:t>
      </w:r>
    </w:p>
    <w:tbl>
      <w:tblPr>
        <w:tblpPr w:leftFromText="141" w:rightFromText="141" w:vertAnchor="page" w:horzAnchor="margin" w:tblpXSpec="center" w:tblpY="6582"/>
        <w:tblW w:w="0" w:type="auto"/>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4A0" w:firstRow="1" w:lastRow="0" w:firstColumn="1" w:lastColumn="0" w:noHBand="0" w:noVBand="1"/>
      </w:tblPr>
      <w:tblGrid>
        <w:gridCol w:w="1638"/>
        <w:gridCol w:w="1638"/>
        <w:gridCol w:w="6"/>
        <w:gridCol w:w="1632"/>
        <w:gridCol w:w="12"/>
        <w:gridCol w:w="2294"/>
      </w:tblGrid>
      <w:tr w:rsidR="003B370D" w:rsidRPr="008B3E12" w14:paraId="08082C4E" w14:textId="77777777" w:rsidTr="003B370D">
        <w:trPr>
          <w:trHeight w:val="408"/>
        </w:trPr>
        <w:tc>
          <w:tcPr>
            <w:tcW w:w="1638" w:type="dxa"/>
            <w:tcBorders>
              <w:top w:val="single" w:sz="8" w:space="0" w:color="FFFFFF"/>
              <w:left w:val="single" w:sz="8" w:space="0" w:color="FFFFFF"/>
              <w:bottom w:val="single" w:sz="8" w:space="0" w:color="FFFFFF"/>
              <w:right w:val="single" w:sz="8" w:space="0" w:color="FFFFFF"/>
            </w:tcBorders>
            <w:shd w:val="clear" w:color="auto" w:fill="C0504D"/>
            <w:vAlign w:val="center"/>
            <w:hideMark/>
          </w:tcPr>
          <w:p w14:paraId="67CF84F6" w14:textId="77777777" w:rsidR="003B370D" w:rsidRPr="008B3E12" w:rsidRDefault="003B370D" w:rsidP="003B370D">
            <w:pPr>
              <w:spacing w:before="60" w:after="60"/>
              <w:jc w:val="center"/>
              <w:rPr>
                <w:rFonts w:ascii="Arial" w:hAnsi="Arial" w:cs="Arial"/>
                <w:b/>
                <w:bCs/>
                <w:iCs/>
                <w:color w:val="FFFFFF"/>
                <w:sz w:val="20"/>
                <w:szCs w:val="20"/>
              </w:rPr>
            </w:pPr>
            <w:bookmarkStart w:id="0" w:name="_GoBack"/>
            <w:bookmarkEnd w:id="0"/>
            <w:r w:rsidRPr="008B3E12">
              <w:rPr>
                <w:rFonts w:ascii="Arial" w:eastAsia="Calibri" w:hAnsi="Arial" w:cs="Arial"/>
                <w:b/>
                <w:bCs/>
                <w:iCs/>
                <w:color w:val="FFFFFF"/>
                <w:sz w:val="20"/>
                <w:szCs w:val="20"/>
              </w:rPr>
              <w:t>Dispozice</w:t>
            </w:r>
          </w:p>
        </w:tc>
        <w:tc>
          <w:tcPr>
            <w:tcW w:w="1638" w:type="dxa"/>
            <w:tcBorders>
              <w:top w:val="single" w:sz="8" w:space="0" w:color="FFFFFF"/>
              <w:left w:val="single" w:sz="8" w:space="0" w:color="FFFFFF"/>
              <w:bottom w:val="single" w:sz="8" w:space="0" w:color="FFFFFF"/>
              <w:right w:val="single" w:sz="8" w:space="0" w:color="FFFFFF"/>
            </w:tcBorders>
            <w:shd w:val="clear" w:color="auto" w:fill="C0504D"/>
            <w:vAlign w:val="center"/>
            <w:hideMark/>
          </w:tcPr>
          <w:p w14:paraId="1F2CBD31" w14:textId="77777777" w:rsidR="003B370D" w:rsidRPr="008B3E12" w:rsidRDefault="003B370D" w:rsidP="003B370D">
            <w:pPr>
              <w:spacing w:before="60" w:after="60"/>
              <w:jc w:val="center"/>
              <w:rPr>
                <w:rFonts w:ascii="Arial" w:hAnsi="Arial" w:cs="Arial"/>
                <w:b/>
                <w:bCs/>
                <w:iCs/>
                <w:color w:val="FFFFFF"/>
                <w:sz w:val="20"/>
                <w:szCs w:val="20"/>
              </w:rPr>
            </w:pPr>
            <w:r w:rsidRPr="008B3E12">
              <w:rPr>
                <w:rFonts w:ascii="Arial" w:eastAsia="Calibri" w:hAnsi="Arial" w:cs="Arial"/>
                <w:b/>
                <w:bCs/>
                <w:iCs/>
                <w:color w:val="FFFFFF"/>
                <w:sz w:val="20"/>
                <w:szCs w:val="20"/>
              </w:rPr>
              <w:t>Cena s DPH</w:t>
            </w:r>
          </w:p>
        </w:tc>
        <w:tc>
          <w:tcPr>
            <w:tcW w:w="1638" w:type="dxa"/>
            <w:gridSpan w:val="2"/>
            <w:tcBorders>
              <w:top w:val="single" w:sz="8" w:space="0" w:color="FFFFFF"/>
              <w:left w:val="single" w:sz="8" w:space="0" w:color="FFFFFF"/>
              <w:bottom w:val="single" w:sz="8" w:space="0" w:color="FFFFFF"/>
              <w:right w:val="single" w:sz="8" w:space="0" w:color="FFFFFF"/>
            </w:tcBorders>
            <w:shd w:val="clear" w:color="auto" w:fill="C0504D"/>
            <w:vAlign w:val="center"/>
            <w:hideMark/>
          </w:tcPr>
          <w:p w14:paraId="1262C2E4" w14:textId="77777777" w:rsidR="003B370D" w:rsidRPr="008B3E12" w:rsidRDefault="003B370D" w:rsidP="003B370D">
            <w:pPr>
              <w:spacing w:before="60" w:after="60"/>
              <w:jc w:val="center"/>
              <w:rPr>
                <w:rFonts w:ascii="Arial" w:hAnsi="Arial" w:cs="Arial"/>
                <w:b/>
                <w:bCs/>
                <w:iCs/>
                <w:color w:val="FFFFFF"/>
                <w:sz w:val="20"/>
                <w:szCs w:val="20"/>
              </w:rPr>
            </w:pPr>
            <w:r w:rsidRPr="008B3E12">
              <w:rPr>
                <w:rFonts w:ascii="Arial" w:eastAsia="Calibri" w:hAnsi="Arial" w:cs="Arial"/>
                <w:b/>
                <w:bCs/>
                <w:iCs/>
                <w:color w:val="FFFFFF"/>
                <w:sz w:val="20"/>
                <w:szCs w:val="20"/>
              </w:rPr>
              <w:t>Velikost bytu</w:t>
            </w:r>
          </w:p>
        </w:tc>
        <w:tc>
          <w:tcPr>
            <w:tcW w:w="2306" w:type="dxa"/>
            <w:gridSpan w:val="2"/>
            <w:tcBorders>
              <w:top w:val="single" w:sz="8" w:space="0" w:color="FFFFFF"/>
              <w:left w:val="single" w:sz="8" w:space="0" w:color="FFFFFF"/>
              <w:bottom w:val="single" w:sz="8" w:space="0" w:color="FFFFFF"/>
              <w:right w:val="single" w:sz="8" w:space="0" w:color="FFFFFF"/>
            </w:tcBorders>
            <w:shd w:val="clear" w:color="auto" w:fill="C0504D"/>
            <w:vAlign w:val="center"/>
            <w:hideMark/>
          </w:tcPr>
          <w:p w14:paraId="71DB603E" w14:textId="77777777" w:rsidR="003B370D" w:rsidRPr="008B3E12" w:rsidRDefault="003B370D" w:rsidP="003B370D">
            <w:pPr>
              <w:spacing w:before="60" w:after="60"/>
              <w:jc w:val="center"/>
              <w:rPr>
                <w:rFonts w:ascii="Arial" w:hAnsi="Arial" w:cs="Arial"/>
                <w:b/>
                <w:bCs/>
                <w:iCs/>
                <w:color w:val="FFFFFF"/>
                <w:sz w:val="20"/>
                <w:szCs w:val="20"/>
              </w:rPr>
            </w:pPr>
            <w:r w:rsidRPr="008B3E12">
              <w:rPr>
                <w:rFonts w:ascii="Arial" w:eastAsia="Calibri" w:hAnsi="Arial" w:cs="Arial"/>
                <w:b/>
                <w:bCs/>
                <w:iCs/>
                <w:color w:val="FFFFFF"/>
                <w:sz w:val="20"/>
                <w:szCs w:val="20"/>
              </w:rPr>
              <w:t>Cena za m</w:t>
            </w:r>
            <w:r w:rsidRPr="008B3E12">
              <w:rPr>
                <w:rFonts w:ascii="Arial" w:eastAsia="Calibri" w:hAnsi="Arial" w:cs="Arial"/>
                <w:b/>
                <w:bCs/>
                <w:iCs/>
                <w:color w:val="FFFFFF"/>
                <w:sz w:val="20"/>
                <w:szCs w:val="20"/>
                <w:vertAlign w:val="superscript"/>
              </w:rPr>
              <w:t>2</w:t>
            </w:r>
            <w:r w:rsidRPr="008B3E12">
              <w:rPr>
                <w:rFonts w:ascii="Arial" w:eastAsia="Calibri" w:hAnsi="Arial" w:cs="Arial"/>
                <w:b/>
                <w:bCs/>
                <w:iCs/>
                <w:color w:val="FFFFFF"/>
                <w:sz w:val="20"/>
                <w:szCs w:val="20"/>
              </w:rPr>
              <w:t xml:space="preserve"> s DPH</w:t>
            </w:r>
            <w:r w:rsidRPr="008B3E12">
              <w:rPr>
                <w:rStyle w:val="Znakapoznpodarou"/>
                <w:rFonts w:ascii="Arial" w:eastAsia="Calibri" w:hAnsi="Arial" w:cs="Arial"/>
                <w:b/>
                <w:bCs/>
                <w:iCs/>
                <w:color w:val="FFFFFF"/>
                <w:sz w:val="20"/>
                <w:szCs w:val="20"/>
              </w:rPr>
              <w:footnoteReference w:id="1"/>
            </w:r>
          </w:p>
        </w:tc>
      </w:tr>
      <w:tr w:rsidR="003B370D" w:rsidRPr="008B3E12" w14:paraId="011B983D" w14:textId="77777777" w:rsidTr="003B370D">
        <w:trPr>
          <w:trHeight w:val="113"/>
        </w:trPr>
        <w:tc>
          <w:tcPr>
            <w:tcW w:w="1638" w:type="dxa"/>
            <w:tcBorders>
              <w:top w:val="single" w:sz="8" w:space="0" w:color="FFFFFF"/>
              <w:left w:val="single" w:sz="8" w:space="0" w:color="FFFFFF"/>
              <w:right w:val="single" w:sz="8" w:space="0" w:color="FFFFFF"/>
            </w:tcBorders>
            <w:shd w:val="clear" w:color="auto" w:fill="C0504D"/>
            <w:vAlign w:val="center"/>
            <w:hideMark/>
          </w:tcPr>
          <w:p w14:paraId="3C985087" w14:textId="77777777" w:rsidR="003B370D" w:rsidRPr="008B3E12" w:rsidRDefault="003B370D" w:rsidP="003B370D">
            <w:pPr>
              <w:spacing w:before="60" w:after="60" w:line="240" w:lineRule="auto"/>
              <w:jc w:val="center"/>
              <w:rPr>
                <w:rFonts w:ascii="Arial" w:hAnsi="Arial" w:cs="Arial"/>
                <w:b/>
                <w:bCs/>
                <w:iCs/>
                <w:color w:val="FFFFFF"/>
                <w:sz w:val="20"/>
                <w:szCs w:val="20"/>
              </w:rPr>
            </w:pPr>
            <w:r w:rsidRPr="008B3E12">
              <w:rPr>
                <w:rFonts w:ascii="Arial" w:eastAsia="Calibri" w:hAnsi="Arial" w:cs="Arial"/>
                <w:b/>
                <w:bCs/>
                <w:iCs/>
                <w:color w:val="FFFFFF"/>
                <w:sz w:val="20"/>
                <w:szCs w:val="20"/>
              </w:rPr>
              <w:t>1+kk</w:t>
            </w:r>
          </w:p>
        </w:tc>
        <w:tc>
          <w:tcPr>
            <w:tcW w:w="1644" w:type="dxa"/>
            <w:gridSpan w:val="2"/>
            <w:tcBorders>
              <w:top w:val="single" w:sz="8" w:space="0" w:color="FFFFFF"/>
              <w:left w:val="single" w:sz="8" w:space="0" w:color="FFFFFF"/>
              <w:bottom w:val="single" w:sz="8" w:space="0" w:color="FFFFFF"/>
              <w:right w:val="single" w:sz="8" w:space="0" w:color="FFFFFF"/>
            </w:tcBorders>
            <w:shd w:val="clear" w:color="auto" w:fill="DFA7A6"/>
            <w:vAlign w:val="center"/>
            <w:hideMark/>
          </w:tcPr>
          <w:p w14:paraId="3A561A9E" w14:textId="77777777" w:rsidR="003B370D" w:rsidRPr="008B3E12" w:rsidRDefault="003B370D" w:rsidP="003B370D">
            <w:pPr>
              <w:spacing w:before="60" w:after="60" w:line="240" w:lineRule="auto"/>
              <w:jc w:val="center"/>
              <w:rPr>
                <w:rFonts w:ascii="Arial" w:hAnsi="Arial" w:cs="Arial"/>
                <w:iCs/>
                <w:sz w:val="20"/>
                <w:szCs w:val="20"/>
              </w:rPr>
            </w:pPr>
            <w:r w:rsidRPr="008B3E12">
              <w:rPr>
                <w:rFonts w:ascii="Arial" w:eastAsia="Calibri" w:hAnsi="Arial" w:cs="Arial"/>
                <w:iCs/>
                <w:sz w:val="20"/>
                <w:szCs w:val="20"/>
              </w:rPr>
              <w:t>3 100 000 Kč</w:t>
            </w:r>
          </w:p>
        </w:tc>
        <w:tc>
          <w:tcPr>
            <w:tcW w:w="1644" w:type="dxa"/>
            <w:gridSpan w:val="2"/>
            <w:tcBorders>
              <w:top w:val="single" w:sz="8" w:space="0" w:color="FFFFFF"/>
              <w:left w:val="single" w:sz="8" w:space="0" w:color="FFFFFF"/>
              <w:bottom w:val="single" w:sz="8" w:space="0" w:color="FFFFFF"/>
              <w:right w:val="single" w:sz="8" w:space="0" w:color="FFFFFF"/>
            </w:tcBorders>
            <w:shd w:val="clear" w:color="auto" w:fill="DFA7A6"/>
            <w:vAlign w:val="bottom"/>
            <w:hideMark/>
          </w:tcPr>
          <w:p w14:paraId="1447F57E" w14:textId="77777777" w:rsidR="003B370D" w:rsidRPr="008B3E12" w:rsidRDefault="003B370D" w:rsidP="003B370D">
            <w:pPr>
              <w:spacing w:before="60" w:after="60" w:line="240" w:lineRule="auto"/>
              <w:jc w:val="center"/>
              <w:rPr>
                <w:rFonts w:ascii="Arial" w:hAnsi="Arial" w:cs="Arial"/>
                <w:iCs/>
                <w:sz w:val="20"/>
                <w:szCs w:val="20"/>
              </w:rPr>
            </w:pPr>
            <w:r w:rsidRPr="008B3E12">
              <w:rPr>
                <w:rFonts w:ascii="Arial" w:eastAsia="Calibri" w:hAnsi="Arial" w:cs="Arial"/>
                <w:iCs/>
                <w:sz w:val="20"/>
                <w:szCs w:val="20"/>
              </w:rPr>
              <w:t>39,2 m</w:t>
            </w:r>
            <w:r w:rsidRPr="008B3E12">
              <w:rPr>
                <w:rFonts w:ascii="Arial" w:eastAsia="Calibri" w:hAnsi="Arial" w:cs="Arial"/>
                <w:iCs/>
                <w:sz w:val="20"/>
                <w:szCs w:val="20"/>
                <w:vertAlign w:val="superscript"/>
              </w:rPr>
              <w:t>2</w:t>
            </w:r>
          </w:p>
        </w:tc>
        <w:tc>
          <w:tcPr>
            <w:tcW w:w="2294" w:type="dxa"/>
            <w:tcBorders>
              <w:top w:val="single" w:sz="8" w:space="0" w:color="FFFFFF"/>
              <w:left w:val="single" w:sz="8" w:space="0" w:color="FFFFFF"/>
              <w:bottom w:val="single" w:sz="8" w:space="0" w:color="FFFFFF"/>
              <w:right w:val="single" w:sz="8" w:space="0" w:color="FFFFFF"/>
            </w:tcBorders>
            <w:shd w:val="clear" w:color="auto" w:fill="DFA7A6"/>
            <w:vAlign w:val="bottom"/>
            <w:hideMark/>
          </w:tcPr>
          <w:p w14:paraId="27A1B14D" w14:textId="77777777" w:rsidR="003B370D" w:rsidRPr="008B3E12" w:rsidRDefault="003B370D" w:rsidP="003B370D">
            <w:pPr>
              <w:spacing w:before="60" w:after="60" w:line="240" w:lineRule="auto"/>
              <w:jc w:val="center"/>
              <w:rPr>
                <w:rFonts w:ascii="Arial" w:eastAsia="Calibri" w:hAnsi="Arial" w:cs="Arial"/>
                <w:iCs/>
                <w:sz w:val="20"/>
                <w:szCs w:val="20"/>
              </w:rPr>
            </w:pPr>
            <w:r w:rsidRPr="008B3E12">
              <w:rPr>
                <w:rFonts w:ascii="Arial" w:eastAsia="Calibri" w:hAnsi="Arial" w:cs="Arial"/>
                <w:iCs/>
                <w:sz w:val="20"/>
                <w:szCs w:val="20"/>
              </w:rPr>
              <w:t>79 300 Kč</w:t>
            </w:r>
          </w:p>
        </w:tc>
      </w:tr>
      <w:tr w:rsidR="003B370D" w:rsidRPr="008B3E12" w14:paraId="1368BA8A" w14:textId="77777777" w:rsidTr="003B370D">
        <w:trPr>
          <w:trHeight w:val="113"/>
        </w:trPr>
        <w:tc>
          <w:tcPr>
            <w:tcW w:w="1638" w:type="dxa"/>
            <w:tcBorders>
              <w:top w:val="single" w:sz="8" w:space="0" w:color="FFFFFF"/>
              <w:left w:val="single" w:sz="8" w:space="0" w:color="FFFFFF"/>
              <w:right w:val="single" w:sz="8" w:space="0" w:color="FFFFFF"/>
            </w:tcBorders>
            <w:shd w:val="clear" w:color="auto" w:fill="C0504D"/>
            <w:vAlign w:val="center"/>
            <w:hideMark/>
          </w:tcPr>
          <w:p w14:paraId="1AAC17A8" w14:textId="77777777" w:rsidR="003B370D" w:rsidRPr="008B3E12" w:rsidRDefault="003B370D" w:rsidP="003B370D">
            <w:pPr>
              <w:spacing w:before="60" w:after="60" w:line="240" w:lineRule="auto"/>
              <w:jc w:val="center"/>
              <w:rPr>
                <w:rFonts w:ascii="Arial" w:hAnsi="Arial" w:cs="Arial"/>
                <w:b/>
                <w:bCs/>
                <w:iCs/>
                <w:color w:val="FFFFFF"/>
                <w:sz w:val="20"/>
                <w:szCs w:val="20"/>
              </w:rPr>
            </w:pPr>
            <w:r w:rsidRPr="008B3E12">
              <w:rPr>
                <w:rFonts w:ascii="Arial" w:eastAsia="Calibri" w:hAnsi="Arial" w:cs="Arial"/>
                <w:b/>
                <w:bCs/>
                <w:iCs/>
                <w:color w:val="FFFFFF"/>
                <w:sz w:val="20"/>
                <w:szCs w:val="20"/>
              </w:rPr>
              <w:t>2+kk</w:t>
            </w:r>
          </w:p>
        </w:tc>
        <w:tc>
          <w:tcPr>
            <w:tcW w:w="1644" w:type="dxa"/>
            <w:gridSpan w:val="2"/>
            <w:tcBorders>
              <w:top w:val="single" w:sz="8" w:space="0" w:color="FFFFFF"/>
              <w:left w:val="single" w:sz="8" w:space="0" w:color="FFFFFF"/>
              <w:bottom w:val="single" w:sz="8" w:space="0" w:color="FFFFFF"/>
              <w:right w:val="single" w:sz="8" w:space="0" w:color="FFFFFF"/>
            </w:tcBorders>
            <w:shd w:val="clear" w:color="auto" w:fill="EFD3D2"/>
            <w:vAlign w:val="bottom"/>
            <w:hideMark/>
          </w:tcPr>
          <w:p w14:paraId="5714440D" w14:textId="77777777" w:rsidR="003B370D" w:rsidRPr="008B3E12" w:rsidRDefault="003B370D" w:rsidP="003B370D">
            <w:pPr>
              <w:spacing w:before="60" w:after="60" w:line="240" w:lineRule="auto"/>
              <w:jc w:val="center"/>
              <w:rPr>
                <w:rFonts w:ascii="Arial" w:hAnsi="Arial" w:cs="Arial"/>
                <w:iCs/>
                <w:sz w:val="20"/>
                <w:szCs w:val="20"/>
              </w:rPr>
            </w:pPr>
            <w:r w:rsidRPr="008B3E12">
              <w:rPr>
                <w:rFonts w:ascii="Arial" w:eastAsia="Calibri" w:hAnsi="Arial" w:cs="Arial"/>
                <w:iCs/>
                <w:sz w:val="20"/>
                <w:szCs w:val="20"/>
              </w:rPr>
              <w:t>4 400 000 Kč</w:t>
            </w:r>
          </w:p>
        </w:tc>
        <w:tc>
          <w:tcPr>
            <w:tcW w:w="1644" w:type="dxa"/>
            <w:gridSpan w:val="2"/>
            <w:tcBorders>
              <w:top w:val="single" w:sz="8" w:space="0" w:color="FFFFFF"/>
              <w:left w:val="single" w:sz="8" w:space="0" w:color="FFFFFF"/>
              <w:bottom w:val="single" w:sz="8" w:space="0" w:color="FFFFFF"/>
              <w:right w:val="single" w:sz="8" w:space="0" w:color="FFFFFF"/>
            </w:tcBorders>
            <w:shd w:val="clear" w:color="auto" w:fill="EFD3D2"/>
            <w:vAlign w:val="bottom"/>
            <w:hideMark/>
          </w:tcPr>
          <w:p w14:paraId="3F8378A8" w14:textId="77777777" w:rsidR="003B370D" w:rsidRPr="008B3E12" w:rsidRDefault="003B370D" w:rsidP="003B370D">
            <w:pPr>
              <w:spacing w:before="60" w:after="60" w:line="240" w:lineRule="auto"/>
              <w:jc w:val="center"/>
              <w:rPr>
                <w:rFonts w:ascii="Arial" w:hAnsi="Arial" w:cs="Arial"/>
                <w:iCs/>
                <w:sz w:val="20"/>
                <w:szCs w:val="20"/>
              </w:rPr>
            </w:pPr>
            <w:r w:rsidRPr="008B3E12">
              <w:rPr>
                <w:rFonts w:ascii="Arial" w:eastAsia="Calibri" w:hAnsi="Arial" w:cs="Arial"/>
                <w:iCs/>
                <w:sz w:val="20"/>
                <w:szCs w:val="20"/>
              </w:rPr>
              <w:t>55,3 m</w:t>
            </w:r>
            <w:r w:rsidRPr="008B3E12">
              <w:rPr>
                <w:rFonts w:ascii="Arial" w:eastAsia="Calibri" w:hAnsi="Arial" w:cs="Arial"/>
                <w:iCs/>
                <w:sz w:val="20"/>
                <w:szCs w:val="20"/>
                <w:vertAlign w:val="superscript"/>
              </w:rPr>
              <w:t>2</w:t>
            </w:r>
          </w:p>
        </w:tc>
        <w:tc>
          <w:tcPr>
            <w:tcW w:w="2294" w:type="dxa"/>
            <w:tcBorders>
              <w:top w:val="single" w:sz="8" w:space="0" w:color="FFFFFF"/>
              <w:left w:val="single" w:sz="8" w:space="0" w:color="FFFFFF"/>
              <w:bottom w:val="single" w:sz="8" w:space="0" w:color="FFFFFF"/>
              <w:right w:val="single" w:sz="8" w:space="0" w:color="FFFFFF"/>
            </w:tcBorders>
            <w:shd w:val="clear" w:color="auto" w:fill="EFD3D2"/>
            <w:vAlign w:val="bottom"/>
            <w:hideMark/>
          </w:tcPr>
          <w:p w14:paraId="31B8A398" w14:textId="77777777" w:rsidR="003B370D" w:rsidRPr="008B3E12" w:rsidRDefault="003B370D" w:rsidP="003B370D">
            <w:pPr>
              <w:spacing w:before="60" w:after="60" w:line="240" w:lineRule="auto"/>
              <w:jc w:val="center"/>
              <w:rPr>
                <w:rFonts w:ascii="Arial" w:hAnsi="Arial" w:cs="Arial"/>
                <w:iCs/>
                <w:sz w:val="20"/>
                <w:szCs w:val="20"/>
              </w:rPr>
            </w:pPr>
            <w:r w:rsidRPr="008B3E12">
              <w:rPr>
                <w:rFonts w:ascii="Arial" w:eastAsia="Calibri" w:hAnsi="Arial" w:cs="Arial"/>
                <w:iCs/>
                <w:sz w:val="20"/>
                <w:szCs w:val="20"/>
              </w:rPr>
              <w:t>80 400 Kč</w:t>
            </w:r>
          </w:p>
        </w:tc>
      </w:tr>
      <w:tr w:rsidR="003B370D" w:rsidRPr="008B3E12" w14:paraId="0FE605C2" w14:textId="77777777" w:rsidTr="003B370D">
        <w:trPr>
          <w:trHeight w:val="113"/>
        </w:trPr>
        <w:tc>
          <w:tcPr>
            <w:tcW w:w="1638" w:type="dxa"/>
            <w:tcBorders>
              <w:top w:val="single" w:sz="8" w:space="0" w:color="FFFFFF"/>
              <w:left w:val="single" w:sz="8" w:space="0" w:color="FFFFFF"/>
              <w:right w:val="single" w:sz="8" w:space="0" w:color="FFFFFF"/>
            </w:tcBorders>
            <w:shd w:val="clear" w:color="auto" w:fill="C0504D"/>
            <w:vAlign w:val="center"/>
            <w:hideMark/>
          </w:tcPr>
          <w:p w14:paraId="33C8FC14" w14:textId="77777777" w:rsidR="003B370D" w:rsidRPr="008B3E12" w:rsidRDefault="003B370D" w:rsidP="003B370D">
            <w:pPr>
              <w:spacing w:before="60" w:after="60" w:line="240" w:lineRule="auto"/>
              <w:jc w:val="center"/>
              <w:rPr>
                <w:rFonts w:ascii="Arial" w:hAnsi="Arial" w:cs="Arial"/>
                <w:b/>
                <w:bCs/>
                <w:iCs/>
                <w:color w:val="FFFFFF"/>
                <w:sz w:val="20"/>
                <w:szCs w:val="20"/>
              </w:rPr>
            </w:pPr>
            <w:r w:rsidRPr="008B3E12">
              <w:rPr>
                <w:rFonts w:ascii="Arial" w:eastAsia="Calibri" w:hAnsi="Arial" w:cs="Arial"/>
                <w:b/>
                <w:bCs/>
                <w:iCs/>
                <w:color w:val="FFFFFF"/>
                <w:sz w:val="20"/>
                <w:szCs w:val="20"/>
              </w:rPr>
              <w:t>3+kk</w:t>
            </w:r>
          </w:p>
        </w:tc>
        <w:tc>
          <w:tcPr>
            <w:tcW w:w="1644" w:type="dxa"/>
            <w:gridSpan w:val="2"/>
            <w:tcBorders>
              <w:top w:val="single" w:sz="8" w:space="0" w:color="FFFFFF"/>
              <w:left w:val="single" w:sz="8" w:space="0" w:color="FFFFFF"/>
              <w:bottom w:val="single" w:sz="8" w:space="0" w:color="FFFFFF"/>
              <w:right w:val="single" w:sz="8" w:space="0" w:color="FFFFFF"/>
            </w:tcBorders>
            <w:shd w:val="clear" w:color="auto" w:fill="DFA7A6"/>
            <w:vAlign w:val="bottom"/>
            <w:hideMark/>
          </w:tcPr>
          <w:p w14:paraId="407B4ABB" w14:textId="77777777" w:rsidR="003B370D" w:rsidRPr="008B3E12" w:rsidRDefault="003B370D" w:rsidP="003B370D">
            <w:pPr>
              <w:spacing w:before="60" w:after="60" w:line="240" w:lineRule="auto"/>
              <w:jc w:val="center"/>
              <w:rPr>
                <w:rFonts w:ascii="Arial" w:hAnsi="Arial" w:cs="Arial"/>
                <w:iCs/>
                <w:sz w:val="20"/>
                <w:szCs w:val="20"/>
              </w:rPr>
            </w:pPr>
            <w:r w:rsidRPr="008B3E12">
              <w:rPr>
                <w:rFonts w:ascii="Arial" w:eastAsia="Calibri" w:hAnsi="Arial" w:cs="Arial"/>
                <w:iCs/>
                <w:sz w:val="20"/>
                <w:szCs w:val="20"/>
              </w:rPr>
              <w:t>6 400 000 Kč</w:t>
            </w:r>
          </w:p>
        </w:tc>
        <w:tc>
          <w:tcPr>
            <w:tcW w:w="1644" w:type="dxa"/>
            <w:gridSpan w:val="2"/>
            <w:tcBorders>
              <w:top w:val="single" w:sz="8" w:space="0" w:color="FFFFFF"/>
              <w:left w:val="single" w:sz="8" w:space="0" w:color="FFFFFF"/>
              <w:bottom w:val="single" w:sz="8" w:space="0" w:color="FFFFFF"/>
              <w:right w:val="single" w:sz="8" w:space="0" w:color="FFFFFF"/>
            </w:tcBorders>
            <w:shd w:val="clear" w:color="auto" w:fill="DFA7A6"/>
            <w:vAlign w:val="bottom"/>
            <w:hideMark/>
          </w:tcPr>
          <w:p w14:paraId="54EEBC01" w14:textId="77777777" w:rsidR="003B370D" w:rsidRPr="008B3E12" w:rsidRDefault="003B370D" w:rsidP="003B370D">
            <w:pPr>
              <w:spacing w:before="60" w:after="60" w:line="240" w:lineRule="auto"/>
              <w:jc w:val="center"/>
              <w:rPr>
                <w:rFonts w:ascii="Arial" w:hAnsi="Arial" w:cs="Arial"/>
                <w:iCs/>
                <w:sz w:val="20"/>
                <w:szCs w:val="20"/>
              </w:rPr>
            </w:pPr>
            <w:r w:rsidRPr="008B3E12">
              <w:rPr>
                <w:rFonts w:ascii="Arial" w:eastAsia="Calibri" w:hAnsi="Arial" w:cs="Arial"/>
                <w:iCs/>
                <w:sz w:val="20"/>
                <w:szCs w:val="20"/>
              </w:rPr>
              <w:t>81,0 m</w:t>
            </w:r>
            <w:r w:rsidRPr="008B3E12">
              <w:rPr>
                <w:rFonts w:ascii="Arial" w:eastAsia="Calibri" w:hAnsi="Arial" w:cs="Arial"/>
                <w:iCs/>
                <w:sz w:val="20"/>
                <w:szCs w:val="20"/>
                <w:vertAlign w:val="superscript"/>
              </w:rPr>
              <w:t>2</w:t>
            </w:r>
          </w:p>
        </w:tc>
        <w:tc>
          <w:tcPr>
            <w:tcW w:w="2294" w:type="dxa"/>
            <w:tcBorders>
              <w:top w:val="single" w:sz="8" w:space="0" w:color="FFFFFF"/>
              <w:left w:val="single" w:sz="8" w:space="0" w:color="FFFFFF"/>
              <w:bottom w:val="single" w:sz="8" w:space="0" w:color="FFFFFF"/>
              <w:right w:val="single" w:sz="8" w:space="0" w:color="FFFFFF"/>
            </w:tcBorders>
            <w:shd w:val="clear" w:color="auto" w:fill="DFA7A6"/>
            <w:vAlign w:val="bottom"/>
            <w:hideMark/>
          </w:tcPr>
          <w:p w14:paraId="65AF448F" w14:textId="77777777" w:rsidR="003B370D" w:rsidRPr="008B3E12" w:rsidRDefault="003B370D" w:rsidP="003B370D">
            <w:pPr>
              <w:spacing w:before="60" w:after="60" w:line="240" w:lineRule="auto"/>
              <w:jc w:val="center"/>
              <w:rPr>
                <w:rFonts w:ascii="Arial" w:hAnsi="Arial" w:cs="Arial"/>
                <w:iCs/>
                <w:sz w:val="20"/>
                <w:szCs w:val="20"/>
              </w:rPr>
            </w:pPr>
            <w:r w:rsidRPr="008B3E12">
              <w:rPr>
                <w:rFonts w:ascii="Arial" w:eastAsia="Calibri" w:hAnsi="Arial" w:cs="Arial"/>
                <w:iCs/>
                <w:sz w:val="20"/>
                <w:szCs w:val="20"/>
              </w:rPr>
              <w:t>79 400 Kč</w:t>
            </w:r>
          </w:p>
        </w:tc>
      </w:tr>
      <w:tr w:rsidR="003B370D" w:rsidRPr="008B3E12" w14:paraId="049B2993" w14:textId="77777777" w:rsidTr="003B370D">
        <w:trPr>
          <w:trHeight w:val="113"/>
        </w:trPr>
        <w:tc>
          <w:tcPr>
            <w:tcW w:w="1638" w:type="dxa"/>
            <w:tcBorders>
              <w:top w:val="single" w:sz="8" w:space="0" w:color="FFFFFF"/>
              <w:left w:val="single" w:sz="8" w:space="0" w:color="FFFFFF"/>
              <w:bottom w:val="single" w:sz="8" w:space="0" w:color="FFFFFF"/>
              <w:right w:val="single" w:sz="8" w:space="0" w:color="FFFFFF"/>
            </w:tcBorders>
            <w:shd w:val="clear" w:color="auto" w:fill="C0504D"/>
            <w:vAlign w:val="center"/>
            <w:hideMark/>
          </w:tcPr>
          <w:p w14:paraId="067794DC" w14:textId="77777777" w:rsidR="003B370D" w:rsidRPr="008B3E12" w:rsidRDefault="003B370D" w:rsidP="003B370D">
            <w:pPr>
              <w:spacing w:before="60" w:after="60" w:line="240" w:lineRule="auto"/>
              <w:jc w:val="center"/>
              <w:rPr>
                <w:rFonts w:ascii="Arial" w:hAnsi="Arial" w:cs="Arial"/>
                <w:b/>
                <w:bCs/>
                <w:iCs/>
                <w:color w:val="FFFFFF"/>
                <w:sz w:val="20"/>
                <w:szCs w:val="20"/>
              </w:rPr>
            </w:pPr>
            <w:r w:rsidRPr="008B3E12">
              <w:rPr>
                <w:rFonts w:ascii="Arial" w:eastAsia="Calibri" w:hAnsi="Arial" w:cs="Arial"/>
                <w:b/>
                <w:bCs/>
                <w:iCs/>
                <w:color w:val="FFFFFF"/>
                <w:sz w:val="20"/>
                <w:szCs w:val="20"/>
              </w:rPr>
              <w:t>4+kk a více</w:t>
            </w:r>
          </w:p>
        </w:tc>
        <w:tc>
          <w:tcPr>
            <w:tcW w:w="1644" w:type="dxa"/>
            <w:gridSpan w:val="2"/>
            <w:tcBorders>
              <w:top w:val="single" w:sz="8" w:space="0" w:color="FFFFFF"/>
              <w:left w:val="single" w:sz="8" w:space="0" w:color="FFFFFF"/>
              <w:bottom w:val="single" w:sz="8" w:space="0" w:color="FFFFFF"/>
              <w:right w:val="single" w:sz="8" w:space="0" w:color="FFFFFF"/>
            </w:tcBorders>
            <w:shd w:val="clear" w:color="auto" w:fill="EFD3D2"/>
            <w:vAlign w:val="bottom"/>
            <w:hideMark/>
          </w:tcPr>
          <w:p w14:paraId="349663EF" w14:textId="77777777" w:rsidR="003B370D" w:rsidRPr="008B3E12" w:rsidRDefault="003B370D" w:rsidP="003B370D">
            <w:pPr>
              <w:spacing w:before="60" w:after="60" w:line="240" w:lineRule="auto"/>
              <w:jc w:val="center"/>
              <w:rPr>
                <w:rFonts w:ascii="Arial" w:hAnsi="Arial" w:cs="Arial"/>
                <w:iCs/>
                <w:sz w:val="20"/>
                <w:szCs w:val="20"/>
              </w:rPr>
            </w:pPr>
            <w:r w:rsidRPr="008B3E12">
              <w:rPr>
                <w:rFonts w:ascii="Arial" w:eastAsia="Calibri" w:hAnsi="Arial" w:cs="Arial"/>
                <w:iCs/>
                <w:sz w:val="20"/>
                <w:szCs w:val="20"/>
              </w:rPr>
              <w:t>9 900 000 Kč</w:t>
            </w:r>
          </w:p>
        </w:tc>
        <w:tc>
          <w:tcPr>
            <w:tcW w:w="1644" w:type="dxa"/>
            <w:gridSpan w:val="2"/>
            <w:tcBorders>
              <w:top w:val="single" w:sz="8" w:space="0" w:color="FFFFFF"/>
              <w:left w:val="single" w:sz="8" w:space="0" w:color="FFFFFF"/>
              <w:bottom w:val="single" w:sz="8" w:space="0" w:color="FFFFFF"/>
              <w:right w:val="single" w:sz="8" w:space="0" w:color="FFFFFF"/>
            </w:tcBorders>
            <w:shd w:val="clear" w:color="auto" w:fill="EFD3D2"/>
            <w:vAlign w:val="bottom"/>
            <w:hideMark/>
          </w:tcPr>
          <w:p w14:paraId="0884A184" w14:textId="77777777" w:rsidR="003B370D" w:rsidRPr="008B3E12" w:rsidRDefault="003B370D" w:rsidP="003B370D">
            <w:pPr>
              <w:spacing w:before="60" w:after="60" w:line="240" w:lineRule="auto"/>
              <w:jc w:val="center"/>
              <w:rPr>
                <w:rFonts w:ascii="Arial" w:eastAsia="Calibri" w:hAnsi="Arial" w:cs="Arial"/>
                <w:iCs/>
                <w:sz w:val="20"/>
                <w:szCs w:val="20"/>
              </w:rPr>
            </w:pPr>
            <w:r w:rsidRPr="008B3E12">
              <w:rPr>
                <w:rFonts w:ascii="Arial" w:eastAsia="Calibri" w:hAnsi="Arial" w:cs="Arial"/>
                <w:iCs/>
                <w:sz w:val="20"/>
                <w:szCs w:val="20"/>
              </w:rPr>
              <w:t>108,3 m</w:t>
            </w:r>
            <w:r w:rsidRPr="008B3E12">
              <w:rPr>
                <w:rFonts w:ascii="Arial" w:eastAsia="Calibri" w:hAnsi="Arial" w:cs="Arial"/>
                <w:iCs/>
                <w:sz w:val="20"/>
                <w:szCs w:val="20"/>
                <w:vertAlign w:val="superscript"/>
              </w:rPr>
              <w:t>2</w:t>
            </w:r>
          </w:p>
        </w:tc>
        <w:tc>
          <w:tcPr>
            <w:tcW w:w="2294" w:type="dxa"/>
            <w:tcBorders>
              <w:top w:val="single" w:sz="8" w:space="0" w:color="FFFFFF"/>
              <w:left w:val="single" w:sz="8" w:space="0" w:color="FFFFFF"/>
              <w:bottom w:val="single" w:sz="8" w:space="0" w:color="FFFFFF"/>
              <w:right w:val="single" w:sz="8" w:space="0" w:color="FFFFFF"/>
            </w:tcBorders>
            <w:shd w:val="clear" w:color="auto" w:fill="EFD3D2"/>
            <w:vAlign w:val="bottom"/>
            <w:hideMark/>
          </w:tcPr>
          <w:p w14:paraId="633508B0" w14:textId="77777777" w:rsidR="003B370D" w:rsidRPr="008B3E12" w:rsidRDefault="003B370D" w:rsidP="003B370D">
            <w:pPr>
              <w:spacing w:before="60" w:after="60" w:line="240" w:lineRule="auto"/>
              <w:jc w:val="center"/>
              <w:rPr>
                <w:rFonts w:ascii="Arial" w:hAnsi="Arial" w:cs="Arial"/>
                <w:iCs/>
                <w:sz w:val="20"/>
                <w:szCs w:val="20"/>
              </w:rPr>
            </w:pPr>
            <w:r w:rsidRPr="008B3E12">
              <w:rPr>
                <w:rFonts w:ascii="Arial" w:eastAsia="Calibri" w:hAnsi="Arial" w:cs="Arial"/>
                <w:iCs/>
                <w:sz w:val="20"/>
                <w:szCs w:val="20"/>
              </w:rPr>
              <w:t>91 800 Kč</w:t>
            </w:r>
          </w:p>
        </w:tc>
      </w:tr>
    </w:tbl>
    <w:p w14:paraId="58CD3967" w14:textId="6EDDE6F4" w:rsidR="003B370D" w:rsidRDefault="003B370D" w:rsidP="00520898">
      <w:pPr>
        <w:spacing w:before="240"/>
        <w:jc w:val="center"/>
        <w:rPr>
          <w:color w:val="808080" w:themeColor="background1" w:themeShade="80"/>
        </w:rPr>
      </w:pPr>
    </w:p>
    <w:p w14:paraId="51C54454" w14:textId="140D1837" w:rsidR="003B370D" w:rsidRDefault="003B370D" w:rsidP="00520898">
      <w:pPr>
        <w:spacing w:before="240"/>
        <w:jc w:val="center"/>
        <w:rPr>
          <w:color w:val="808080" w:themeColor="background1" w:themeShade="80"/>
        </w:rPr>
      </w:pPr>
    </w:p>
    <w:p w14:paraId="5566B9A4" w14:textId="77777777" w:rsidR="003B370D" w:rsidRPr="00FD5F2A" w:rsidRDefault="003B370D" w:rsidP="00520898">
      <w:pPr>
        <w:spacing w:before="240"/>
        <w:jc w:val="center"/>
        <w:rPr>
          <w:color w:val="808080" w:themeColor="background1" w:themeShade="80"/>
        </w:rPr>
      </w:pPr>
    </w:p>
    <w:p w14:paraId="6218B6FE" w14:textId="5509FCCE" w:rsidR="00250265" w:rsidRPr="008B3E12" w:rsidRDefault="00250265" w:rsidP="000420BC">
      <w:pPr>
        <w:rPr>
          <w:sz w:val="20"/>
          <w:szCs w:val="20"/>
        </w:rPr>
      </w:pPr>
    </w:p>
    <w:p w14:paraId="1FE7E9CE" w14:textId="37290DB0" w:rsidR="00250265" w:rsidRPr="008B3E12" w:rsidRDefault="00250265" w:rsidP="000420BC">
      <w:pPr>
        <w:rPr>
          <w:sz w:val="20"/>
          <w:szCs w:val="20"/>
        </w:rPr>
      </w:pPr>
    </w:p>
    <w:p w14:paraId="1F013DFC" w14:textId="6C594938" w:rsidR="009C3B4B" w:rsidRPr="008B3E12" w:rsidRDefault="009C3B4B" w:rsidP="00A76F2E">
      <w:pPr>
        <w:rPr>
          <w:sz w:val="20"/>
          <w:szCs w:val="20"/>
        </w:rPr>
      </w:pPr>
    </w:p>
    <w:p w14:paraId="0DB39E3A" w14:textId="2FC14C86" w:rsidR="009C3B4B" w:rsidRPr="008B3E12" w:rsidRDefault="003B370D" w:rsidP="00A76F2E">
      <w:pPr>
        <w:rPr>
          <w:sz w:val="20"/>
          <w:szCs w:val="20"/>
        </w:rPr>
      </w:pPr>
      <w:r w:rsidRPr="00E445E5">
        <w:rPr>
          <w:rFonts w:ascii="Arial" w:hAnsi="Arial" w:cs="Arial"/>
          <w:i/>
          <w:noProof/>
          <w:sz w:val="20"/>
          <w:szCs w:val="20"/>
          <w:lang w:eastAsia="cs-CZ"/>
        </w:rPr>
        <w:drawing>
          <wp:anchor distT="0" distB="0" distL="114300" distR="114300" simplePos="0" relativeHeight="251659264" behindDoc="0" locked="0" layoutInCell="1" allowOverlap="1" wp14:anchorId="19624ADC" wp14:editId="25B5FE46">
            <wp:simplePos x="0" y="0"/>
            <wp:positionH relativeFrom="margin">
              <wp:posOffset>-26035</wp:posOffset>
            </wp:positionH>
            <wp:positionV relativeFrom="page">
              <wp:posOffset>5706110</wp:posOffset>
            </wp:positionV>
            <wp:extent cx="5745480" cy="2000250"/>
            <wp:effectExtent l="0" t="0" r="7620" b="0"/>
            <wp:wrapSquare wrapText="bothSides"/>
            <wp:docPr id="8" name="Graf 8">
              <a:extLst xmlns:a="http://schemas.openxmlformats.org/drawingml/2006/main">
                <a:ext uri="{FF2B5EF4-FFF2-40B4-BE49-F238E27FC236}">
                  <a16:creationId xmlns:a16="http://schemas.microsoft.com/office/drawing/2014/main" id="{7A93E180-A990-449A-B303-B62EF0F08B0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14:paraId="3EC9DAF5" w14:textId="7B7A5343" w:rsidR="009C3B4B" w:rsidRPr="008B3E12" w:rsidRDefault="009C3B4B" w:rsidP="00A76F2E">
      <w:pPr>
        <w:rPr>
          <w:sz w:val="20"/>
          <w:szCs w:val="20"/>
        </w:rPr>
      </w:pPr>
    </w:p>
    <w:p w14:paraId="60E1B235" w14:textId="20B59FF8" w:rsidR="009C3B4B" w:rsidRPr="008B3E12" w:rsidRDefault="009C3B4B" w:rsidP="00A76F2E">
      <w:pPr>
        <w:rPr>
          <w:sz w:val="20"/>
          <w:szCs w:val="20"/>
        </w:rPr>
      </w:pPr>
    </w:p>
    <w:p w14:paraId="4D7E86DA" w14:textId="1910B1F0" w:rsidR="009C3B4B" w:rsidRPr="008B3E12" w:rsidRDefault="009C3B4B" w:rsidP="00A76F2E">
      <w:pPr>
        <w:rPr>
          <w:sz w:val="20"/>
          <w:szCs w:val="20"/>
        </w:rPr>
      </w:pPr>
    </w:p>
    <w:p w14:paraId="0A082CBE" w14:textId="4950B548" w:rsidR="00520898" w:rsidRDefault="00520898" w:rsidP="002D5693">
      <w:pPr>
        <w:jc w:val="both"/>
        <w:rPr>
          <w:sz w:val="20"/>
          <w:szCs w:val="20"/>
        </w:rPr>
      </w:pPr>
    </w:p>
    <w:p w14:paraId="76A93CCD" w14:textId="70B01FCF" w:rsidR="00E845D5" w:rsidRDefault="00E845D5" w:rsidP="002D5693">
      <w:pPr>
        <w:jc w:val="both"/>
        <w:rPr>
          <w:sz w:val="20"/>
          <w:szCs w:val="20"/>
        </w:rPr>
      </w:pPr>
    </w:p>
    <w:p w14:paraId="5795F1D1" w14:textId="15E06D57" w:rsidR="001E15C1" w:rsidRPr="00B807BA" w:rsidRDefault="00C60050" w:rsidP="0096275A">
      <w:pPr>
        <w:spacing w:before="120"/>
        <w:jc w:val="both"/>
        <w:rPr>
          <w:szCs w:val="20"/>
        </w:rPr>
      </w:pPr>
      <w:r w:rsidRPr="00B807BA">
        <w:rPr>
          <w:szCs w:val="20"/>
        </w:rPr>
        <w:lastRenderedPageBreak/>
        <w:t xml:space="preserve">I přes </w:t>
      </w:r>
      <w:r w:rsidR="008B1832" w:rsidRPr="00B807BA">
        <w:rPr>
          <w:szCs w:val="20"/>
        </w:rPr>
        <w:t>rostoucí</w:t>
      </w:r>
      <w:r w:rsidRPr="00B807BA">
        <w:rPr>
          <w:szCs w:val="20"/>
        </w:rPr>
        <w:t xml:space="preserve"> ceny je </w:t>
      </w:r>
      <w:r w:rsidR="00FC136A" w:rsidRPr="00B807BA">
        <w:rPr>
          <w:szCs w:val="20"/>
        </w:rPr>
        <w:t xml:space="preserve">však </w:t>
      </w:r>
      <w:r w:rsidRPr="00B807BA">
        <w:rPr>
          <w:szCs w:val="20"/>
        </w:rPr>
        <w:t xml:space="preserve">poptávka po novém bydlení </w:t>
      </w:r>
      <w:r w:rsidR="00213531" w:rsidRPr="00B807BA">
        <w:rPr>
          <w:szCs w:val="20"/>
        </w:rPr>
        <w:t xml:space="preserve">v Brně </w:t>
      </w:r>
      <w:r w:rsidRPr="00B807BA">
        <w:rPr>
          <w:szCs w:val="20"/>
        </w:rPr>
        <w:t xml:space="preserve">stále vysoká. </w:t>
      </w:r>
      <w:r w:rsidR="008B1832" w:rsidRPr="00B807BA">
        <w:rPr>
          <w:szCs w:val="20"/>
        </w:rPr>
        <w:t>Během prvního pololetí se v Brně prodalo 459 bytů, což je dvakrát víc</w:t>
      </w:r>
      <w:r w:rsidR="00CF2CD3" w:rsidRPr="00B807BA">
        <w:rPr>
          <w:szCs w:val="20"/>
        </w:rPr>
        <w:t xml:space="preserve">e </w:t>
      </w:r>
      <w:r w:rsidR="00AC4301" w:rsidRPr="00B807BA">
        <w:rPr>
          <w:szCs w:val="20"/>
        </w:rPr>
        <w:t xml:space="preserve">než </w:t>
      </w:r>
      <w:r w:rsidR="00E62395" w:rsidRPr="00B807BA">
        <w:rPr>
          <w:szCs w:val="20"/>
        </w:rPr>
        <w:t>za prvních šest měsíců roku 2018</w:t>
      </w:r>
      <w:r w:rsidR="008B1832" w:rsidRPr="00B807BA">
        <w:rPr>
          <w:szCs w:val="20"/>
        </w:rPr>
        <w:t xml:space="preserve">. </w:t>
      </w:r>
      <w:r w:rsidR="00213531" w:rsidRPr="00B807BA">
        <w:rPr>
          <w:szCs w:val="20"/>
        </w:rPr>
        <w:t>N</w:t>
      </w:r>
      <w:r w:rsidR="00FC136A" w:rsidRPr="00B807BA">
        <w:rPr>
          <w:szCs w:val="20"/>
        </w:rPr>
        <w:t xml:space="preserve">ejvětší zájem </w:t>
      </w:r>
      <w:r w:rsidR="00213531" w:rsidRPr="00B807BA">
        <w:rPr>
          <w:szCs w:val="20"/>
        </w:rPr>
        <w:t xml:space="preserve">je </w:t>
      </w:r>
      <w:r w:rsidR="008B1832" w:rsidRPr="00B807BA">
        <w:rPr>
          <w:szCs w:val="20"/>
        </w:rPr>
        <w:t>stabilně</w:t>
      </w:r>
      <w:r w:rsidR="00213531" w:rsidRPr="00B807BA">
        <w:rPr>
          <w:szCs w:val="20"/>
        </w:rPr>
        <w:t xml:space="preserve"> </w:t>
      </w:r>
      <w:r w:rsidR="0059074C" w:rsidRPr="00B807BA">
        <w:rPr>
          <w:szCs w:val="20"/>
        </w:rPr>
        <w:t>o menší</w:t>
      </w:r>
      <w:r w:rsidR="008B1832" w:rsidRPr="00B807BA">
        <w:rPr>
          <w:szCs w:val="20"/>
        </w:rPr>
        <w:t xml:space="preserve"> byty</w:t>
      </w:r>
      <w:r w:rsidR="0059074C" w:rsidRPr="00B807BA">
        <w:rPr>
          <w:szCs w:val="20"/>
        </w:rPr>
        <w:t>. „</w:t>
      </w:r>
      <w:r w:rsidR="0059074C" w:rsidRPr="00B807BA">
        <w:rPr>
          <w:i/>
          <w:szCs w:val="20"/>
        </w:rPr>
        <w:t>V</w:t>
      </w:r>
      <w:r w:rsidR="00FC136A" w:rsidRPr="00B807BA">
        <w:rPr>
          <w:i/>
          <w:szCs w:val="20"/>
        </w:rPr>
        <w:t xml:space="preserve"> uplynulém čtvrtletí byl každý třetí prodaný byt </w:t>
      </w:r>
      <w:r w:rsidR="00E62395" w:rsidRPr="00B807BA">
        <w:rPr>
          <w:i/>
          <w:szCs w:val="20"/>
        </w:rPr>
        <w:t xml:space="preserve">v Brně </w:t>
      </w:r>
      <w:r w:rsidR="008B1832" w:rsidRPr="00B807BA">
        <w:rPr>
          <w:i/>
          <w:szCs w:val="20"/>
        </w:rPr>
        <w:t>jednopokojový</w:t>
      </w:r>
      <w:r w:rsidR="00213531" w:rsidRPr="00B807BA">
        <w:rPr>
          <w:i/>
          <w:szCs w:val="20"/>
        </w:rPr>
        <w:t>.</w:t>
      </w:r>
      <w:r w:rsidR="00AC4301" w:rsidRPr="00B807BA">
        <w:rPr>
          <w:i/>
          <w:szCs w:val="20"/>
        </w:rPr>
        <w:t xml:space="preserve"> Kromě zájemců o bydlení je kupují zejména investoři, protože </w:t>
      </w:r>
      <w:r w:rsidR="002D5693" w:rsidRPr="00B807BA">
        <w:rPr>
          <w:i/>
          <w:szCs w:val="20"/>
        </w:rPr>
        <w:t xml:space="preserve">výnosy z pronájmu </w:t>
      </w:r>
      <w:r w:rsidR="00AC4301" w:rsidRPr="00B807BA">
        <w:rPr>
          <w:i/>
          <w:szCs w:val="20"/>
        </w:rPr>
        <w:t xml:space="preserve">garsonky jsou zatím </w:t>
      </w:r>
      <w:r w:rsidR="008B1832" w:rsidRPr="00B807BA">
        <w:rPr>
          <w:i/>
          <w:szCs w:val="20"/>
        </w:rPr>
        <w:t>nejvýhodnější. Zájem o nájemní bydlení navíc díky st</w:t>
      </w:r>
      <w:r w:rsidR="002D5693" w:rsidRPr="00B807BA">
        <w:rPr>
          <w:i/>
          <w:szCs w:val="20"/>
        </w:rPr>
        <w:t>udentům univerzit a zahraničním</w:t>
      </w:r>
      <w:r w:rsidR="008B1832" w:rsidRPr="00B807BA">
        <w:rPr>
          <w:i/>
          <w:szCs w:val="20"/>
        </w:rPr>
        <w:t xml:space="preserve"> pracovníků</w:t>
      </w:r>
      <w:r w:rsidR="002D5693" w:rsidRPr="00B807BA">
        <w:rPr>
          <w:i/>
          <w:szCs w:val="20"/>
        </w:rPr>
        <w:t>m</w:t>
      </w:r>
      <w:r w:rsidR="008B1832" w:rsidRPr="00B807BA">
        <w:rPr>
          <w:i/>
          <w:szCs w:val="20"/>
        </w:rPr>
        <w:t xml:space="preserve"> v nadnárodních společnostech také </w:t>
      </w:r>
      <w:r w:rsidR="002D5693" w:rsidRPr="00B807BA">
        <w:rPr>
          <w:i/>
          <w:szCs w:val="20"/>
        </w:rPr>
        <w:t>stoupá</w:t>
      </w:r>
      <w:r w:rsidR="008B1832" w:rsidRPr="00B807BA">
        <w:rPr>
          <w:szCs w:val="20"/>
        </w:rPr>
        <w:t>,“</w:t>
      </w:r>
      <w:r w:rsidR="008B3E12" w:rsidRPr="00B807BA">
        <w:rPr>
          <w:szCs w:val="20"/>
        </w:rPr>
        <w:t xml:space="preserve"> říká Alexej Veselý. </w:t>
      </w:r>
    </w:p>
    <w:p w14:paraId="2E6ACCEC" w14:textId="61EFFAF8" w:rsidR="00E845D5" w:rsidRDefault="00E845D5" w:rsidP="002D5693">
      <w:pPr>
        <w:jc w:val="both"/>
        <w:rPr>
          <w:sz w:val="20"/>
          <w:szCs w:val="20"/>
        </w:rPr>
      </w:pPr>
    </w:p>
    <w:p w14:paraId="52444616" w14:textId="1EB58718" w:rsidR="00E845D5" w:rsidRPr="00A60CD4" w:rsidRDefault="00E845D5" w:rsidP="0096275A">
      <w:pPr>
        <w:spacing w:after="120"/>
        <w:jc w:val="both"/>
        <w:rPr>
          <w:b/>
          <w:bCs/>
          <w:szCs w:val="20"/>
        </w:rPr>
      </w:pPr>
      <w:r w:rsidRPr="00A60CD4">
        <w:rPr>
          <w:b/>
          <w:bCs/>
          <w:szCs w:val="20"/>
        </w:rPr>
        <w:t>Kdy se situace změní</w:t>
      </w:r>
      <w:r w:rsidR="0017396E" w:rsidRPr="00A60CD4">
        <w:rPr>
          <w:b/>
          <w:bCs/>
          <w:szCs w:val="20"/>
        </w:rPr>
        <w:t>?</w:t>
      </w:r>
    </w:p>
    <w:p w14:paraId="1DA9D1C5" w14:textId="52702628" w:rsidR="00B807BA" w:rsidRPr="00A60CD4" w:rsidRDefault="00B807BA" w:rsidP="00B807BA">
      <w:pPr>
        <w:jc w:val="both"/>
        <w:rPr>
          <w:szCs w:val="24"/>
        </w:rPr>
      </w:pPr>
      <w:r w:rsidRPr="00A60CD4">
        <w:rPr>
          <w:szCs w:val="24"/>
        </w:rPr>
        <w:t xml:space="preserve">Obrat k lepšímu by mohl brněnskému realitnímu trhu přinést nový územní plán, na jehož návrhu teď pracuje Kancelář architekta města Brna, a který má začít platit do konce roku 2022. </w:t>
      </w:r>
      <w:r w:rsidRPr="00A60CD4">
        <w:rPr>
          <w:i/>
          <w:szCs w:val="24"/>
        </w:rPr>
        <w:t>„Plochy určené pro bydlení ve stávajícím územním plánu jsou už prakticky vyčerpané, nebo jejich zástavbě brání další komplikace, například nemožnost dopravního napojení, omezení daná předpisy, ochrannými pásmy, záplavovými územími a další,“</w:t>
      </w:r>
      <w:r w:rsidRPr="00A60CD4">
        <w:rPr>
          <w:szCs w:val="24"/>
        </w:rPr>
        <w:t xml:space="preserve"> říká Michal Sedláček, ředitel Kanceláře architekta města Brna.</w:t>
      </w:r>
    </w:p>
    <w:p w14:paraId="3374A0E7" w14:textId="77777777" w:rsidR="00B807BA" w:rsidRPr="00A60CD4" w:rsidRDefault="00B807BA" w:rsidP="00B807BA">
      <w:pPr>
        <w:jc w:val="both"/>
        <w:rPr>
          <w:szCs w:val="24"/>
        </w:rPr>
      </w:pPr>
    </w:p>
    <w:p w14:paraId="16E13E19" w14:textId="5B69D116" w:rsidR="00B807BA" w:rsidRPr="00B807BA" w:rsidRDefault="00B807BA" w:rsidP="00B807BA">
      <w:pPr>
        <w:jc w:val="both"/>
        <w:rPr>
          <w:b/>
          <w:bCs/>
          <w:sz w:val="18"/>
          <w:szCs w:val="20"/>
        </w:rPr>
      </w:pPr>
      <w:r w:rsidRPr="00A60CD4">
        <w:rPr>
          <w:szCs w:val="24"/>
        </w:rPr>
        <w:t xml:space="preserve">Stávající situaci má ještě před schválením nového územního plánu zlepšit také sto padesát změn stávajícího územního plánu, které pomůžou nejen rozvoji bydlení, ale také dopravy. </w:t>
      </w:r>
      <w:r w:rsidRPr="00A60CD4">
        <w:rPr>
          <w:i/>
          <w:szCs w:val="24"/>
        </w:rPr>
        <w:t>„Začátkem července jsme odevzdali návrh, který zahrnuje menší změny, jako jsou proměny zahrad na plochy pro stavbu rodinných domů, ale také větší změny, které umožní přeměnit nevyužívané průmyslové areály na obytné čtvrti. Týká se to třeba areálů ve Slatině, Maloměřicích nebo Obřanech,“</w:t>
      </w:r>
      <w:r w:rsidRPr="00A60CD4">
        <w:rPr>
          <w:szCs w:val="24"/>
        </w:rPr>
        <w:t xml:space="preserve"> doplňuje Sedláček. Změny by měly začít platit v polovině roku 2020.</w:t>
      </w:r>
    </w:p>
    <w:p w14:paraId="0F583DFA" w14:textId="77777777" w:rsidR="00E845D5" w:rsidRDefault="00E845D5" w:rsidP="008B1832">
      <w:pPr>
        <w:jc w:val="both"/>
        <w:rPr>
          <w:b/>
          <w:bCs/>
          <w:sz w:val="20"/>
          <w:szCs w:val="20"/>
        </w:rPr>
      </w:pPr>
    </w:p>
    <w:p w14:paraId="474E50F9" w14:textId="77777777" w:rsidR="00E845D5" w:rsidRPr="00B807BA" w:rsidRDefault="0017396E" w:rsidP="00B807BA">
      <w:pPr>
        <w:spacing w:before="360" w:after="120"/>
        <w:jc w:val="both"/>
        <w:rPr>
          <w:b/>
          <w:bCs/>
          <w:szCs w:val="20"/>
        </w:rPr>
      </w:pPr>
      <w:r w:rsidRPr="00B807BA">
        <w:rPr>
          <w:b/>
          <w:bCs/>
          <w:szCs w:val="20"/>
        </w:rPr>
        <w:t>Vyplatí se spíše starší byt?</w:t>
      </w:r>
    </w:p>
    <w:p w14:paraId="2285404B" w14:textId="22BB19D9" w:rsidR="002D5693" w:rsidRPr="00B807BA" w:rsidRDefault="002D5693" w:rsidP="008B1832">
      <w:pPr>
        <w:jc w:val="both"/>
        <w:rPr>
          <w:szCs w:val="20"/>
        </w:rPr>
      </w:pPr>
      <w:r w:rsidRPr="00B807BA">
        <w:rPr>
          <w:szCs w:val="20"/>
        </w:rPr>
        <w:t xml:space="preserve">Ceny bytů ale nerostou pouze v novostavbách. Ač </w:t>
      </w:r>
      <w:r w:rsidR="00AC4301" w:rsidRPr="00B807BA">
        <w:rPr>
          <w:szCs w:val="20"/>
        </w:rPr>
        <w:t>bývají</w:t>
      </w:r>
      <w:r w:rsidRPr="00B807BA">
        <w:rPr>
          <w:szCs w:val="20"/>
        </w:rPr>
        <w:t xml:space="preserve"> starší byty zpravidla levnější, následují trh novostaveb a</w:t>
      </w:r>
      <w:r w:rsidR="00307F11" w:rsidRPr="00B807BA">
        <w:rPr>
          <w:szCs w:val="20"/>
        </w:rPr>
        <w:t xml:space="preserve"> i jejich</w:t>
      </w:r>
      <w:r w:rsidRPr="00B807BA">
        <w:rPr>
          <w:szCs w:val="20"/>
        </w:rPr>
        <w:t xml:space="preserve"> ceny se zvyšují. Navíc je u staršího bytu nutné počítat s náklady na případné rekonstrukce nebo renovace. </w:t>
      </w:r>
      <w:r w:rsidRPr="00B807BA">
        <w:rPr>
          <w:i/>
          <w:szCs w:val="20"/>
        </w:rPr>
        <w:t>„</w:t>
      </w:r>
      <w:r w:rsidR="00307F11" w:rsidRPr="00B807BA">
        <w:rPr>
          <w:i/>
          <w:szCs w:val="20"/>
        </w:rPr>
        <w:t>Starší nemovitost nemusí být nutně levnější</w:t>
      </w:r>
      <w:r w:rsidR="00E62395" w:rsidRPr="00B807BA">
        <w:rPr>
          <w:i/>
          <w:szCs w:val="20"/>
        </w:rPr>
        <w:t xml:space="preserve"> než novostavba</w:t>
      </w:r>
      <w:r w:rsidR="00307F11" w:rsidRPr="00B807BA">
        <w:rPr>
          <w:i/>
          <w:szCs w:val="20"/>
        </w:rPr>
        <w:t xml:space="preserve">. </w:t>
      </w:r>
      <w:r w:rsidRPr="00B807BA">
        <w:rPr>
          <w:i/>
          <w:szCs w:val="20"/>
        </w:rPr>
        <w:t xml:space="preserve">Při nákupu </w:t>
      </w:r>
      <w:r w:rsidR="00307F11" w:rsidRPr="00B807BA">
        <w:rPr>
          <w:i/>
          <w:szCs w:val="20"/>
        </w:rPr>
        <w:t>totiž nový majitel</w:t>
      </w:r>
      <w:r w:rsidRPr="00B807BA">
        <w:rPr>
          <w:i/>
          <w:szCs w:val="20"/>
        </w:rPr>
        <w:t xml:space="preserve"> hradí </w:t>
      </w:r>
      <w:r w:rsidR="00307F11" w:rsidRPr="00B807BA">
        <w:rPr>
          <w:i/>
          <w:szCs w:val="20"/>
        </w:rPr>
        <w:t xml:space="preserve">kromě nákupní ceny </w:t>
      </w:r>
      <w:r w:rsidRPr="00B807BA">
        <w:rPr>
          <w:i/>
          <w:szCs w:val="20"/>
        </w:rPr>
        <w:t>ještě p</w:t>
      </w:r>
      <w:r w:rsidR="00307F11" w:rsidRPr="00B807BA">
        <w:rPr>
          <w:i/>
          <w:szCs w:val="20"/>
        </w:rPr>
        <w:t>r</w:t>
      </w:r>
      <w:r w:rsidRPr="00B807BA">
        <w:rPr>
          <w:i/>
          <w:szCs w:val="20"/>
        </w:rPr>
        <w:t xml:space="preserve">ovizi realitní kanceláři, která </w:t>
      </w:r>
      <w:r w:rsidR="00E62395" w:rsidRPr="00B807BA">
        <w:rPr>
          <w:i/>
          <w:szCs w:val="20"/>
        </w:rPr>
        <w:t>bývá</w:t>
      </w:r>
      <w:r w:rsidRPr="00B807BA">
        <w:rPr>
          <w:i/>
          <w:szCs w:val="20"/>
        </w:rPr>
        <w:t xml:space="preserve"> kolem 5 %</w:t>
      </w:r>
      <w:r w:rsidR="00CF2CD3" w:rsidRPr="00B807BA">
        <w:rPr>
          <w:i/>
          <w:szCs w:val="20"/>
        </w:rPr>
        <w:t>,</w:t>
      </w:r>
      <w:r w:rsidRPr="00B807BA">
        <w:rPr>
          <w:i/>
          <w:szCs w:val="20"/>
        </w:rPr>
        <w:t xml:space="preserve"> a </w:t>
      </w:r>
      <w:r w:rsidR="00307F11" w:rsidRPr="00B807BA">
        <w:rPr>
          <w:i/>
          <w:szCs w:val="20"/>
        </w:rPr>
        <w:t>dále 4% daň z nabytí nemovitosti. Dobré je počítat také s dalšími 9 % vícenákladů,“</w:t>
      </w:r>
      <w:r w:rsidR="00307F11" w:rsidRPr="00B807BA">
        <w:rPr>
          <w:szCs w:val="20"/>
        </w:rPr>
        <w:t xml:space="preserve"> vysvětluje Alexej Veselý.</w:t>
      </w:r>
    </w:p>
    <w:p w14:paraId="6D003CEF" w14:textId="77777777" w:rsidR="009C3B4B" w:rsidRPr="00B807BA" w:rsidRDefault="009C3B4B" w:rsidP="009C3B4B">
      <w:pPr>
        <w:rPr>
          <w:szCs w:val="20"/>
        </w:rPr>
      </w:pPr>
    </w:p>
    <w:p w14:paraId="3D2E85CD" w14:textId="77777777" w:rsidR="001E2E64" w:rsidRPr="00B807BA" w:rsidRDefault="001D0F7B" w:rsidP="00A76F2E">
      <w:pPr>
        <w:rPr>
          <w:sz w:val="18"/>
          <w:szCs w:val="16"/>
        </w:rPr>
      </w:pPr>
      <w:r w:rsidRPr="00B807BA">
        <w:rPr>
          <w:sz w:val="18"/>
          <w:szCs w:val="16"/>
        </w:rPr>
        <w:t>***</w:t>
      </w:r>
    </w:p>
    <w:p w14:paraId="3CCFCF62" w14:textId="77777777" w:rsidR="00C06E67" w:rsidRPr="00B807BA" w:rsidRDefault="001D0F7B" w:rsidP="001D0F7B">
      <w:pPr>
        <w:pStyle w:val="Hlavicka"/>
        <w:rPr>
          <w:color w:val="3B3838" w:themeColor="background2" w:themeShade="40"/>
          <w:sz w:val="18"/>
          <w:szCs w:val="16"/>
        </w:rPr>
      </w:pPr>
      <w:r w:rsidRPr="00B807BA">
        <w:rPr>
          <w:color w:val="3B3838" w:themeColor="background2" w:themeShade="40"/>
          <w:sz w:val="18"/>
          <w:szCs w:val="16"/>
        </w:rPr>
        <w:t xml:space="preserve">Autor analýzy: František Šudřich, </w:t>
      </w:r>
      <w:r w:rsidR="002D0752" w:rsidRPr="00B807BA">
        <w:rPr>
          <w:color w:val="3B3838" w:themeColor="background2" w:themeShade="40"/>
          <w:sz w:val="18"/>
          <w:szCs w:val="16"/>
        </w:rPr>
        <w:t>obchodní</w:t>
      </w:r>
      <w:r w:rsidRPr="00B807BA">
        <w:rPr>
          <w:color w:val="3B3838" w:themeColor="background2" w:themeShade="40"/>
          <w:sz w:val="18"/>
          <w:szCs w:val="16"/>
        </w:rPr>
        <w:t xml:space="preserve"> ředitel společnosti Trikaya</w:t>
      </w:r>
    </w:p>
    <w:p w14:paraId="0B53A823" w14:textId="77777777" w:rsidR="00C06E67" w:rsidRPr="00B807BA" w:rsidRDefault="001D0F7B" w:rsidP="00C06E67">
      <w:pPr>
        <w:rPr>
          <w:rFonts w:asciiTheme="majorHAnsi" w:hAnsiTheme="majorHAnsi" w:cstheme="majorHAnsi"/>
          <w:sz w:val="18"/>
          <w:szCs w:val="16"/>
        </w:rPr>
      </w:pPr>
      <w:r w:rsidRPr="00B807BA">
        <w:rPr>
          <w:rFonts w:asciiTheme="majorHAnsi" w:hAnsiTheme="majorHAnsi" w:cstheme="majorHAnsi"/>
          <w:color w:val="3B3838" w:themeColor="background2" w:themeShade="40"/>
          <w:sz w:val="18"/>
          <w:szCs w:val="16"/>
        </w:rPr>
        <w:t>Kontakt pro média: Petra Filsaková</w:t>
      </w:r>
      <w:r w:rsidR="006C71BE" w:rsidRPr="00B807BA">
        <w:rPr>
          <w:rFonts w:asciiTheme="majorHAnsi" w:hAnsiTheme="majorHAnsi" w:cstheme="majorHAnsi"/>
          <w:color w:val="3B3838" w:themeColor="background2" w:themeShade="40"/>
          <w:sz w:val="18"/>
          <w:szCs w:val="16"/>
        </w:rPr>
        <w:t>,</w:t>
      </w:r>
      <w:r w:rsidR="006C71BE" w:rsidRPr="00B807BA">
        <w:rPr>
          <w:rFonts w:asciiTheme="majorHAnsi" w:hAnsiTheme="majorHAnsi" w:cstheme="majorHAnsi"/>
          <w:sz w:val="18"/>
          <w:szCs w:val="16"/>
        </w:rPr>
        <w:t xml:space="preserve"> </w:t>
      </w:r>
      <w:proofErr w:type="spellStart"/>
      <w:r w:rsidR="006C71BE" w:rsidRPr="00B807BA">
        <w:rPr>
          <w:rFonts w:asciiTheme="majorHAnsi" w:hAnsiTheme="majorHAnsi" w:cstheme="majorHAnsi"/>
          <w:color w:val="3B3838" w:themeColor="background2" w:themeShade="40"/>
          <w:sz w:val="18"/>
          <w:szCs w:val="16"/>
        </w:rPr>
        <w:t>Ewing</w:t>
      </w:r>
      <w:proofErr w:type="spellEnd"/>
      <w:r w:rsidR="006C71BE" w:rsidRPr="00B807BA">
        <w:rPr>
          <w:rFonts w:asciiTheme="majorHAnsi" w:hAnsiTheme="majorHAnsi" w:cstheme="majorHAnsi"/>
          <w:color w:val="3B3838" w:themeColor="background2" w:themeShade="40"/>
          <w:sz w:val="18"/>
          <w:szCs w:val="16"/>
        </w:rPr>
        <w:t xml:space="preserve"> PR;</w:t>
      </w:r>
      <w:r w:rsidR="006C71BE" w:rsidRPr="00B807BA">
        <w:rPr>
          <w:rFonts w:asciiTheme="majorHAnsi" w:hAnsiTheme="majorHAnsi" w:cstheme="majorHAnsi"/>
          <w:sz w:val="18"/>
          <w:szCs w:val="16"/>
        </w:rPr>
        <w:t xml:space="preserve"> </w:t>
      </w:r>
      <w:hyperlink r:id="rId10" w:history="1">
        <w:r w:rsidR="006C71BE" w:rsidRPr="00B807BA">
          <w:rPr>
            <w:rStyle w:val="Hypertextovodkaz"/>
            <w:rFonts w:asciiTheme="majorHAnsi" w:hAnsiTheme="majorHAnsi" w:cstheme="majorHAnsi"/>
            <w:sz w:val="18"/>
            <w:szCs w:val="16"/>
          </w:rPr>
          <w:t>filsakova@ewingpr.cz</w:t>
        </w:r>
      </w:hyperlink>
      <w:r w:rsidR="006C71BE" w:rsidRPr="00B807BA">
        <w:rPr>
          <w:rFonts w:asciiTheme="majorHAnsi" w:hAnsiTheme="majorHAnsi" w:cstheme="majorHAnsi"/>
          <w:sz w:val="18"/>
          <w:szCs w:val="16"/>
        </w:rPr>
        <w:t xml:space="preserve">; </w:t>
      </w:r>
      <w:r w:rsidR="006C71BE" w:rsidRPr="00B807BA">
        <w:rPr>
          <w:rFonts w:asciiTheme="majorHAnsi" w:hAnsiTheme="majorHAnsi" w:cstheme="majorHAnsi"/>
          <w:color w:val="3B3838" w:themeColor="background2" w:themeShade="40"/>
          <w:sz w:val="18"/>
          <w:szCs w:val="16"/>
        </w:rPr>
        <w:t xml:space="preserve">tel.: </w:t>
      </w:r>
      <w:r w:rsidR="00B06ABF" w:rsidRPr="00B807BA">
        <w:rPr>
          <w:rFonts w:asciiTheme="majorHAnsi" w:hAnsiTheme="majorHAnsi" w:cstheme="majorHAnsi"/>
          <w:color w:val="3B3838" w:themeColor="background2" w:themeShade="40"/>
          <w:sz w:val="18"/>
          <w:szCs w:val="16"/>
        </w:rPr>
        <w:t xml:space="preserve">+420 </w:t>
      </w:r>
      <w:r w:rsidR="006C71BE" w:rsidRPr="00B807BA">
        <w:rPr>
          <w:rFonts w:asciiTheme="majorHAnsi" w:hAnsiTheme="majorHAnsi" w:cstheme="majorHAnsi"/>
          <w:color w:val="3B3838" w:themeColor="background2" w:themeShade="40"/>
          <w:sz w:val="18"/>
          <w:szCs w:val="16"/>
        </w:rPr>
        <w:t>721 959 962</w:t>
      </w:r>
    </w:p>
    <w:sectPr w:rsidR="00C06E67" w:rsidRPr="00B807BA" w:rsidSect="00B807BA">
      <w:headerReference w:type="default" r:id="rId11"/>
      <w:footerReference w:type="default" r:id="rId12"/>
      <w:pgSz w:w="11906" w:h="16838" w:code="9"/>
      <w:pgMar w:top="2410" w:right="1418" w:bottom="1843" w:left="1418" w:header="175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467B84" w14:textId="77777777" w:rsidR="00417DA9" w:rsidRDefault="00417DA9" w:rsidP="00FF7F2C">
      <w:pPr>
        <w:spacing w:line="240" w:lineRule="auto"/>
      </w:pPr>
      <w:r>
        <w:separator/>
      </w:r>
    </w:p>
  </w:endnote>
  <w:endnote w:type="continuationSeparator" w:id="0">
    <w:p w14:paraId="6DF369AD" w14:textId="77777777" w:rsidR="00417DA9" w:rsidRDefault="00417DA9" w:rsidP="00FF7F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Open Sans">
    <w:altName w:val="Times New Roman"/>
    <w:panose1 w:val="020B0606030504020204"/>
    <w:charset w:val="EE"/>
    <w:family w:val="swiss"/>
    <w:pitch w:val="variable"/>
    <w:sig w:usb0="E00002EF" w:usb1="4000205B" w:usb2="00000028"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167E2" w14:textId="77777777" w:rsidR="00FF7F2C" w:rsidRPr="00BC6A3E" w:rsidRDefault="00BC6A3E" w:rsidP="00BC6A3E">
    <w:pPr>
      <w:pStyle w:val="Zpat"/>
    </w:pPr>
    <w:r w:rsidRPr="00BC6A3E">
      <w:t>Tri</w:t>
    </w:r>
    <w:r w:rsidR="00C06E67">
      <w:t>kaya Project Management a.s., Př</w:t>
    </w:r>
    <w:r w:rsidRPr="00BC6A3E">
      <w:t>íkop 4, Brno 602 00, info@trikaya.cz, www.trikaya.cz</w:t>
    </w:r>
  </w:p>
  <w:p w14:paraId="3D0B0BCA" w14:textId="77777777" w:rsidR="009E2C21" w:rsidRPr="00BC6A3E" w:rsidRDefault="009E2C21">
    <w:pPr>
      <w:pStyle w:val="Zpat"/>
      <w:rPr>
        <w:sz w:val="36"/>
      </w:rPr>
    </w:pPr>
  </w:p>
  <w:p w14:paraId="6BD01F91" w14:textId="1868EF0F" w:rsidR="009E2C21" w:rsidRDefault="009E2C21" w:rsidP="009E2C21">
    <w:pPr>
      <w:pStyle w:val="Zpat"/>
    </w:pPr>
    <w:r>
      <w:fldChar w:fldCharType="begin"/>
    </w:r>
    <w:r>
      <w:instrText xml:space="preserve"> PAGE   \* MERGEFORMAT </w:instrText>
    </w:r>
    <w:r>
      <w:fldChar w:fldCharType="separate"/>
    </w:r>
    <w:r w:rsidR="003B370D">
      <w:rPr>
        <w:noProof/>
      </w:rPr>
      <w:t>3</w:t>
    </w:r>
    <w:r>
      <w:fldChar w:fldCharType="end"/>
    </w:r>
    <w:r>
      <w:t>/</w:t>
    </w:r>
    <w:r w:rsidR="002B1D7D">
      <w:rPr>
        <w:noProof/>
      </w:rPr>
      <w:fldChar w:fldCharType="begin"/>
    </w:r>
    <w:r w:rsidR="002B1D7D">
      <w:rPr>
        <w:noProof/>
      </w:rPr>
      <w:instrText xml:space="preserve"> NUMPAGES   \* MERGEFORMAT </w:instrText>
    </w:r>
    <w:r w:rsidR="002B1D7D">
      <w:rPr>
        <w:noProof/>
      </w:rPr>
      <w:fldChar w:fldCharType="separate"/>
    </w:r>
    <w:r w:rsidR="003B370D">
      <w:rPr>
        <w:noProof/>
      </w:rPr>
      <w:t>3</w:t>
    </w:r>
    <w:r w:rsidR="002B1D7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D3BC3" w14:textId="77777777" w:rsidR="00417DA9" w:rsidRDefault="00417DA9" w:rsidP="00FF7F2C">
      <w:pPr>
        <w:spacing w:line="240" w:lineRule="auto"/>
      </w:pPr>
      <w:r>
        <w:separator/>
      </w:r>
    </w:p>
  </w:footnote>
  <w:footnote w:type="continuationSeparator" w:id="0">
    <w:p w14:paraId="4F295E39" w14:textId="77777777" w:rsidR="00417DA9" w:rsidRDefault="00417DA9" w:rsidP="00FF7F2C">
      <w:pPr>
        <w:spacing w:line="240" w:lineRule="auto"/>
      </w:pPr>
      <w:r>
        <w:continuationSeparator/>
      </w:r>
    </w:p>
  </w:footnote>
  <w:footnote w:id="1">
    <w:p w14:paraId="4F969384" w14:textId="77777777" w:rsidR="003B370D" w:rsidRPr="00520898" w:rsidRDefault="003B370D" w:rsidP="003B370D">
      <w:pPr>
        <w:pStyle w:val="Textpoznpodarou"/>
        <w:rPr>
          <w:rFonts w:asciiTheme="majorHAnsi" w:hAnsiTheme="majorHAnsi" w:cstheme="majorHAnsi"/>
        </w:rPr>
      </w:pPr>
      <w:r w:rsidRPr="00520898">
        <w:rPr>
          <w:rStyle w:val="Znakapoznpodarou"/>
          <w:rFonts w:asciiTheme="majorHAnsi" w:hAnsiTheme="majorHAnsi" w:cstheme="majorHAnsi"/>
          <w:sz w:val="16"/>
        </w:rPr>
        <w:footnoteRef/>
      </w:r>
      <w:r w:rsidRPr="00520898">
        <w:rPr>
          <w:rFonts w:asciiTheme="majorHAnsi" w:hAnsiTheme="majorHAnsi" w:cstheme="majorHAnsi"/>
          <w:sz w:val="16"/>
        </w:rPr>
        <w:t xml:space="preserve"> Počítána jako dostupná cena bytu s DPH dělena podlahovou plochou uváděnou developerem (nejčastěji celková podlahová plocha dle NOZ)</w:t>
      </w:r>
      <w:r>
        <w:rPr>
          <w:rFonts w:asciiTheme="majorHAnsi" w:hAnsiTheme="majorHAnsi" w:cstheme="majorHAnsi"/>
          <w:noProof/>
          <w:sz w:val="16"/>
          <w:lang w:eastAsia="cs-CZ"/>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A42D2" w14:textId="77777777" w:rsidR="00FF7F2C" w:rsidRDefault="006B48FF">
    <w:pPr>
      <w:pStyle w:val="Zhlav"/>
    </w:pPr>
    <w:r>
      <w:rPr>
        <w:noProof/>
        <w:lang w:eastAsia="cs-CZ"/>
      </w:rPr>
      <w:drawing>
        <wp:anchor distT="0" distB="0" distL="114300" distR="114300" simplePos="0" relativeHeight="251662336" behindDoc="1" locked="1" layoutInCell="1" allowOverlap="1" wp14:anchorId="5932FE5D" wp14:editId="14550EE1">
          <wp:simplePos x="0" y="0"/>
          <wp:positionH relativeFrom="page">
            <wp:posOffset>895985</wp:posOffset>
          </wp:positionH>
          <wp:positionV relativeFrom="page">
            <wp:posOffset>897890</wp:posOffset>
          </wp:positionV>
          <wp:extent cx="309245" cy="370840"/>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trikaya_T.wmf"/>
                  <pic:cNvPicPr/>
                </pic:nvPicPr>
                <pic:blipFill>
                  <a:blip r:embed="rId1">
                    <a:extLst>
                      <a:ext uri="{28A0092B-C50C-407E-A947-70E740481C1C}">
                        <a14:useLocalDpi xmlns:a14="http://schemas.microsoft.com/office/drawing/2010/main" val="0"/>
                      </a:ext>
                    </a:extLst>
                  </a:blip>
                  <a:stretch>
                    <a:fillRect/>
                  </a:stretch>
                </pic:blipFill>
                <pic:spPr>
                  <a:xfrm>
                    <a:off x="0" y="0"/>
                    <a:ext cx="309245" cy="370840"/>
                  </a:xfrm>
                  <a:prstGeom prst="rect">
                    <a:avLst/>
                  </a:prstGeom>
                </pic:spPr>
              </pic:pic>
            </a:graphicData>
          </a:graphic>
          <wp14:sizeRelH relativeFrom="margin">
            <wp14:pctWidth>0</wp14:pctWidth>
          </wp14:sizeRelH>
          <wp14:sizeRelV relativeFrom="margin">
            <wp14:pctHeight>0</wp14:pctHeight>
          </wp14:sizeRelV>
        </wp:anchor>
      </w:drawing>
    </w:r>
    <w:r w:rsidR="0069165B">
      <w:t>tisková zpráva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516851"/>
    <w:multiLevelType w:val="hybridMultilevel"/>
    <w:tmpl w:val="DEA85ECA"/>
    <w:lvl w:ilvl="0" w:tplc="942CD3DA">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08"/>
  <w:hyphenationZone w:val="425"/>
  <w:drawingGridHorizontalSpacing w:val="181"/>
  <w:drawingGridVerticalSpacing w:val="181"/>
  <w:doNotUseMarginsForDrawingGridOrigin/>
  <w:drawingGridHorizontalOrigin w:val="1418"/>
  <w:drawingGridVerticalOrigin w:val="141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F7B"/>
    <w:rsid w:val="00021CBD"/>
    <w:rsid w:val="0003539B"/>
    <w:rsid w:val="00037A99"/>
    <w:rsid w:val="00041778"/>
    <w:rsid w:val="00041A23"/>
    <w:rsid w:val="000420BC"/>
    <w:rsid w:val="00050987"/>
    <w:rsid w:val="0007575C"/>
    <w:rsid w:val="00081DA9"/>
    <w:rsid w:val="000D0156"/>
    <w:rsid w:val="000D0BF9"/>
    <w:rsid w:val="000D43D4"/>
    <w:rsid w:val="000E255C"/>
    <w:rsid w:val="00120116"/>
    <w:rsid w:val="00126CBB"/>
    <w:rsid w:val="00130AE1"/>
    <w:rsid w:val="0016117A"/>
    <w:rsid w:val="0017396E"/>
    <w:rsid w:val="00177B18"/>
    <w:rsid w:val="001B45F5"/>
    <w:rsid w:val="001C7552"/>
    <w:rsid w:val="001D0F7B"/>
    <w:rsid w:val="001D121C"/>
    <w:rsid w:val="001D7E7B"/>
    <w:rsid w:val="001E15C1"/>
    <w:rsid w:val="001E2E64"/>
    <w:rsid w:val="00213531"/>
    <w:rsid w:val="00231E20"/>
    <w:rsid w:val="0023314F"/>
    <w:rsid w:val="0023724D"/>
    <w:rsid w:val="00250265"/>
    <w:rsid w:val="00255DD4"/>
    <w:rsid w:val="00263851"/>
    <w:rsid w:val="00266702"/>
    <w:rsid w:val="00272280"/>
    <w:rsid w:val="002769B3"/>
    <w:rsid w:val="00284095"/>
    <w:rsid w:val="002B1D7D"/>
    <w:rsid w:val="002C44CE"/>
    <w:rsid w:val="002D0752"/>
    <w:rsid w:val="002D5693"/>
    <w:rsid w:val="002D6433"/>
    <w:rsid w:val="002E5977"/>
    <w:rsid w:val="00301459"/>
    <w:rsid w:val="00307F11"/>
    <w:rsid w:val="00317634"/>
    <w:rsid w:val="00326DBC"/>
    <w:rsid w:val="003642E8"/>
    <w:rsid w:val="003739B9"/>
    <w:rsid w:val="00386F66"/>
    <w:rsid w:val="003A241F"/>
    <w:rsid w:val="003B0DDC"/>
    <w:rsid w:val="003B370D"/>
    <w:rsid w:val="003B41EB"/>
    <w:rsid w:val="003D104D"/>
    <w:rsid w:val="003D4CFE"/>
    <w:rsid w:val="003D704E"/>
    <w:rsid w:val="003E28C6"/>
    <w:rsid w:val="00405B29"/>
    <w:rsid w:val="004175AE"/>
    <w:rsid w:val="00417DA9"/>
    <w:rsid w:val="0042199B"/>
    <w:rsid w:val="0043156D"/>
    <w:rsid w:val="00433A02"/>
    <w:rsid w:val="004437E8"/>
    <w:rsid w:val="00465AB6"/>
    <w:rsid w:val="004779D1"/>
    <w:rsid w:val="004A5E96"/>
    <w:rsid w:val="004A681C"/>
    <w:rsid w:val="004A787F"/>
    <w:rsid w:val="004B7C43"/>
    <w:rsid w:val="004C02D6"/>
    <w:rsid w:val="005043C5"/>
    <w:rsid w:val="00517ED3"/>
    <w:rsid w:val="00520898"/>
    <w:rsid w:val="005260E7"/>
    <w:rsid w:val="005560AD"/>
    <w:rsid w:val="00572C2B"/>
    <w:rsid w:val="00582B8A"/>
    <w:rsid w:val="0058307E"/>
    <w:rsid w:val="00584A9A"/>
    <w:rsid w:val="0059074C"/>
    <w:rsid w:val="00591C22"/>
    <w:rsid w:val="005A3D98"/>
    <w:rsid w:val="005B3AB0"/>
    <w:rsid w:val="005B416B"/>
    <w:rsid w:val="005C4432"/>
    <w:rsid w:val="00604036"/>
    <w:rsid w:val="0061626D"/>
    <w:rsid w:val="00620A1F"/>
    <w:rsid w:val="006308BE"/>
    <w:rsid w:val="00644C9C"/>
    <w:rsid w:val="00652C77"/>
    <w:rsid w:val="00666DFF"/>
    <w:rsid w:val="0067009B"/>
    <w:rsid w:val="00681AA3"/>
    <w:rsid w:val="0069165B"/>
    <w:rsid w:val="006B48FF"/>
    <w:rsid w:val="006C71BE"/>
    <w:rsid w:val="006D01F2"/>
    <w:rsid w:val="00700A41"/>
    <w:rsid w:val="0070658E"/>
    <w:rsid w:val="00723C8D"/>
    <w:rsid w:val="00751112"/>
    <w:rsid w:val="0075699A"/>
    <w:rsid w:val="0077386A"/>
    <w:rsid w:val="007854F3"/>
    <w:rsid w:val="007957F7"/>
    <w:rsid w:val="007A17AB"/>
    <w:rsid w:val="007B74A7"/>
    <w:rsid w:val="007D602A"/>
    <w:rsid w:val="007E1825"/>
    <w:rsid w:val="0082626A"/>
    <w:rsid w:val="00836300"/>
    <w:rsid w:val="00842864"/>
    <w:rsid w:val="00860F52"/>
    <w:rsid w:val="00897007"/>
    <w:rsid w:val="008B1832"/>
    <w:rsid w:val="008B3E12"/>
    <w:rsid w:val="008B5483"/>
    <w:rsid w:val="008B5965"/>
    <w:rsid w:val="008E23D8"/>
    <w:rsid w:val="008F0273"/>
    <w:rsid w:val="008F6E75"/>
    <w:rsid w:val="00903108"/>
    <w:rsid w:val="00904773"/>
    <w:rsid w:val="0090668D"/>
    <w:rsid w:val="00917B81"/>
    <w:rsid w:val="00922FB7"/>
    <w:rsid w:val="0096275A"/>
    <w:rsid w:val="00990FBB"/>
    <w:rsid w:val="009C3B4B"/>
    <w:rsid w:val="009D310B"/>
    <w:rsid w:val="009E2C21"/>
    <w:rsid w:val="00A16760"/>
    <w:rsid w:val="00A277AF"/>
    <w:rsid w:val="00A4288D"/>
    <w:rsid w:val="00A45A10"/>
    <w:rsid w:val="00A472CC"/>
    <w:rsid w:val="00A5025F"/>
    <w:rsid w:val="00A54E7E"/>
    <w:rsid w:val="00A60CD4"/>
    <w:rsid w:val="00A76F2E"/>
    <w:rsid w:val="00A833AA"/>
    <w:rsid w:val="00A95460"/>
    <w:rsid w:val="00AA4160"/>
    <w:rsid w:val="00AB419B"/>
    <w:rsid w:val="00AB51F5"/>
    <w:rsid w:val="00AC4301"/>
    <w:rsid w:val="00AD75A7"/>
    <w:rsid w:val="00AF20CB"/>
    <w:rsid w:val="00AF7266"/>
    <w:rsid w:val="00B06ABF"/>
    <w:rsid w:val="00B52B34"/>
    <w:rsid w:val="00B64098"/>
    <w:rsid w:val="00B807BA"/>
    <w:rsid w:val="00BA3C90"/>
    <w:rsid w:val="00BA5E51"/>
    <w:rsid w:val="00BC6A3E"/>
    <w:rsid w:val="00BC7199"/>
    <w:rsid w:val="00BE6905"/>
    <w:rsid w:val="00C01294"/>
    <w:rsid w:val="00C06E67"/>
    <w:rsid w:val="00C12851"/>
    <w:rsid w:val="00C21F01"/>
    <w:rsid w:val="00C25058"/>
    <w:rsid w:val="00C3031C"/>
    <w:rsid w:val="00C30B7B"/>
    <w:rsid w:val="00C456C5"/>
    <w:rsid w:val="00C60050"/>
    <w:rsid w:val="00C702E3"/>
    <w:rsid w:val="00C819CD"/>
    <w:rsid w:val="00CC35E2"/>
    <w:rsid w:val="00CD09BB"/>
    <w:rsid w:val="00CD1B2E"/>
    <w:rsid w:val="00CD2946"/>
    <w:rsid w:val="00CE0C8A"/>
    <w:rsid w:val="00CE5F61"/>
    <w:rsid w:val="00CF2CD3"/>
    <w:rsid w:val="00D1400F"/>
    <w:rsid w:val="00D75B18"/>
    <w:rsid w:val="00DC14F3"/>
    <w:rsid w:val="00DE4D13"/>
    <w:rsid w:val="00DF0BF9"/>
    <w:rsid w:val="00DF23FD"/>
    <w:rsid w:val="00E06FEC"/>
    <w:rsid w:val="00E16528"/>
    <w:rsid w:val="00E33A39"/>
    <w:rsid w:val="00E40E6C"/>
    <w:rsid w:val="00E62395"/>
    <w:rsid w:val="00E65303"/>
    <w:rsid w:val="00E7617E"/>
    <w:rsid w:val="00E845D5"/>
    <w:rsid w:val="00E96598"/>
    <w:rsid w:val="00EB4539"/>
    <w:rsid w:val="00EF15D2"/>
    <w:rsid w:val="00EF7774"/>
    <w:rsid w:val="00F23EDB"/>
    <w:rsid w:val="00F24AE7"/>
    <w:rsid w:val="00F2739B"/>
    <w:rsid w:val="00F32F67"/>
    <w:rsid w:val="00F54EAA"/>
    <w:rsid w:val="00F55123"/>
    <w:rsid w:val="00F65218"/>
    <w:rsid w:val="00F75F2E"/>
    <w:rsid w:val="00F76F4B"/>
    <w:rsid w:val="00FA181D"/>
    <w:rsid w:val="00FC136A"/>
    <w:rsid w:val="00FD5F2A"/>
    <w:rsid w:val="00FE2A9E"/>
    <w:rsid w:val="00FE7F59"/>
    <w:rsid w:val="00FF7F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DA89E7"/>
  <w15:chartTrackingRefBased/>
  <w15:docId w15:val="{045B36FC-FD2B-48EE-BD98-3557D86A2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sid w:val="00A76F2E"/>
    <w:pPr>
      <w:spacing w:after="0"/>
    </w:pPr>
  </w:style>
  <w:style w:type="paragraph" w:styleId="Nadpis1">
    <w:name w:val="heading 1"/>
    <w:basedOn w:val="Normln"/>
    <w:next w:val="Normln"/>
    <w:link w:val="Nadpis1Char"/>
    <w:uiPriority w:val="9"/>
    <w:qFormat/>
    <w:rsid w:val="00904773"/>
    <w:pPr>
      <w:keepNext/>
      <w:keepLines/>
      <w:spacing w:before="240"/>
      <w:outlineLvl w:val="0"/>
    </w:pPr>
    <w:rPr>
      <w:rFonts w:asciiTheme="majorHAnsi" w:eastAsiaTheme="majorEastAsia" w:hAnsiTheme="majorHAnsi" w:cstheme="majorBidi"/>
      <w:color w:val="C8102E" w:themeColor="accent1"/>
      <w:sz w:val="32"/>
      <w:szCs w:val="32"/>
    </w:rPr>
  </w:style>
  <w:style w:type="paragraph" w:styleId="Nadpis2">
    <w:name w:val="heading 2"/>
    <w:basedOn w:val="Normln"/>
    <w:next w:val="Normln"/>
    <w:link w:val="Nadpis2Char"/>
    <w:uiPriority w:val="9"/>
    <w:unhideWhenUsed/>
    <w:qFormat/>
    <w:rsid w:val="00904773"/>
    <w:pPr>
      <w:keepNext/>
      <w:keepLines/>
      <w:spacing w:before="40"/>
      <w:outlineLvl w:val="1"/>
    </w:pPr>
    <w:rPr>
      <w:rFonts w:asciiTheme="majorHAnsi" w:eastAsiaTheme="majorEastAsia" w:hAnsiTheme="majorHAnsi" w:cstheme="majorBidi"/>
      <w:color w:val="0C2340" w:themeColor="accent2"/>
      <w:sz w:val="26"/>
      <w:szCs w:val="26"/>
    </w:rPr>
  </w:style>
  <w:style w:type="paragraph" w:styleId="Nadpis3">
    <w:name w:val="heading 3"/>
    <w:basedOn w:val="Normln"/>
    <w:next w:val="Normln"/>
    <w:link w:val="Nadpis3Char"/>
    <w:uiPriority w:val="9"/>
    <w:unhideWhenUsed/>
    <w:qFormat/>
    <w:rsid w:val="00904773"/>
    <w:pPr>
      <w:keepNext/>
      <w:keepLines/>
      <w:spacing w:before="40"/>
      <w:outlineLvl w:val="2"/>
    </w:pPr>
    <w:rPr>
      <w:rFonts w:asciiTheme="majorHAnsi" w:eastAsiaTheme="majorEastAsia" w:hAnsiTheme="majorHAnsi" w:cstheme="majorBidi"/>
      <w:color w:val="C8102E" w:themeColor="accent1"/>
      <w:sz w:val="24"/>
      <w:szCs w:val="24"/>
    </w:rPr>
  </w:style>
  <w:style w:type="paragraph" w:styleId="Nadpis4">
    <w:name w:val="heading 4"/>
    <w:basedOn w:val="Normln"/>
    <w:next w:val="Normln"/>
    <w:link w:val="Nadpis4Char"/>
    <w:uiPriority w:val="9"/>
    <w:unhideWhenUsed/>
    <w:qFormat/>
    <w:rsid w:val="00904773"/>
    <w:pPr>
      <w:keepNext/>
      <w:keepLines/>
      <w:spacing w:before="40"/>
      <w:outlineLvl w:val="3"/>
    </w:pPr>
    <w:rPr>
      <w:rFonts w:asciiTheme="majorHAnsi" w:eastAsiaTheme="majorEastAsia" w:hAnsiTheme="majorHAnsi" w:cstheme="majorBidi"/>
      <w:i/>
      <w:iCs/>
      <w:color w:val="0C2340" w:themeColor="accent2"/>
    </w:rPr>
  </w:style>
  <w:style w:type="paragraph" w:styleId="Nadpis5">
    <w:name w:val="heading 5"/>
    <w:basedOn w:val="Normln"/>
    <w:next w:val="Normln"/>
    <w:link w:val="Nadpis5Char"/>
    <w:uiPriority w:val="9"/>
    <w:semiHidden/>
    <w:unhideWhenUsed/>
    <w:qFormat/>
    <w:rsid w:val="00904773"/>
    <w:pPr>
      <w:keepNext/>
      <w:keepLines/>
      <w:spacing w:before="40"/>
      <w:outlineLvl w:val="4"/>
    </w:pPr>
    <w:rPr>
      <w:rFonts w:asciiTheme="majorHAnsi" w:eastAsiaTheme="majorEastAsia" w:hAnsiTheme="majorHAnsi" w:cstheme="majorBidi"/>
      <w:color w:val="0C2340" w:themeColor="accent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B48FF"/>
    <w:pPr>
      <w:tabs>
        <w:tab w:val="center" w:pos="4536"/>
        <w:tab w:val="right" w:pos="9072"/>
      </w:tabs>
      <w:spacing w:line="240" w:lineRule="auto"/>
      <w:jc w:val="right"/>
    </w:pPr>
    <w:rPr>
      <w:rFonts w:asciiTheme="majorHAnsi" w:hAnsiTheme="majorHAnsi"/>
      <w:caps/>
      <w:color w:val="C8102E" w:themeColor="accent1"/>
      <w:sz w:val="20"/>
    </w:rPr>
  </w:style>
  <w:style w:type="character" w:customStyle="1" w:styleId="ZhlavChar">
    <w:name w:val="Záhlaví Char"/>
    <w:basedOn w:val="Standardnpsmoodstavce"/>
    <w:link w:val="Zhlav"/>
    <w:uiPriority w:val="99"/>
    <w:rsid w:val="006B48FF"/>
    <w:rPr>
      <w:rFonts w:asciiTheme="majorHAnsi" w:hAnsiTheme="majorHAnsi"/>
      <w:caps/>
      <w:color w:val="C8102E" w:themeColor="accent1"/>
      <w:sz w:val="20"/>
    </w:rPr>
  </w:style>
  <w:style w:type="paragraph" w:styleId="Zpat">
    <w:name w:val="footer"/>
    <w:basedOn w:val="Normln"/>
    <w:link w:val="ZpatChar"/>
    <w:uiPriority w:val="99"/>
    <w:unhideWhenUsed/>
    <w:rsid w:val="00BC6A3E"/>
    <w:pPr>
      <w:tabs>
        <w:tab w:val="center" w:pos="4536"/>
        <w:tab w:val="right" w:pos="9072"/>
      </w:tabs>
      <w:spacing w:line="192" w:lineRule="auto"/>
      <w:jc w:val="center"/>
    </w:pPr>
    <w:rPr>
      <w:color w:val="0C2340" w:themeColor="accent2"/>
      <w:sz w:val="16"/>
    </w:rPr>
  </w:style>
  <w:style w:type="character" w:customStyle="1" w:styleId="ZpatChar">
    <w:name w:val="Zápatí Char"/>
    <w:basedOn w:val="Standardnpsmoodstavce"/>
    <w:link w:val="Zpat"/>
    <w:uiPriority w:val="99"/>
    <w:rsid w:val="00BC6A3E"/>
    <w:rPr>
      <w:color w:val="0C2340" w:themeColor="accent2"/>
      <w:sz w:val="16"/>
    </w:rPr>
  </w:style>
  <w:style w:type="table" w:styleId="Mkatabulky">
    <w:name w:val="Table Grid"/>
    <w:basedOn w:val="Normlntabulka"/>
    <w:uiPriority w:val="39"/>
    <w:rsid w:val="009E2C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lozka">
    <w:name w:val="dolozka"/>
    <w:basedOn w:val="Normln"/>
    <w:qFormat/>
    <w:rsid w:val="00681AA3"/>
    <w:rPr>
      <w:color w:val="B3B3B3"/>
      <w:sz w:val="12"/>
    </w:rPr>
  </w:style>
  <w:style w:type="paragraph" w:customStyle="1" w:styleId="Hlavicka">
    <w:name w:val="Hlavicka"/>
    <w:basedOn w:val="Normln"/>
    <w:next w:val="Normln"/>
    <w:qFormat/>
    <w:rsid w:val="007D602A"/>
    <w:rPr>
      <w:sz w:val="16"/>
      <w:szCs w:val="26"/>
    </w:rPr>
  </w:style>
  <w:style w:type="character" w:customStyle="1" w:styleId="Nadpis1Char">
    <w:name w:val="Nadpis 1 Char"/>
    <w:basedOn w:val="Standardnpsmoodstavce"/>
    <w:link w:val="Nadpis1"/>
    <w:uiPriority w:val="9"/>
    <w:rsid w:val="00904773"/>
    <w:rPr>
      <w:rFonts w:asciiTheme="majorHAnsi" w:eastAsiaTheme="majorEastAsia" w:hAnsiTheme="majorHAnsi" w:cstheme="majorBidi"/>
      <w:color w:val="C8102E" w:themeColor="accent1"/>
      <w:sz w:val="32"/>
      <w:szCs w:val="32"/>
    </w:rPr>
  </w:style>
  <w:style w:type="character" w:customStyle="1" w:styleId="Nadpis2Char">
    <w:name w:val="Nadpis 2 Char"/>
    <w:basedOn w:val="Standardnpsmoodstavce"/>
    <w:link w:val="Nadpis2"/>
    <w:uiPriority w:val="9"/>
    <w:rsid w:val="00904773"/>
    <w:rPr>
      <w:rFonts w:asciiTheme="majorHAnsi" w:eastAsiaTheme="majorEastAsia" w:hAnsiTheme="majorHAnsi" w:cstheme="majorBidi"/>
      <w:color w:val="0C2340" w:themeColor="accent2"/>
      <w:sz w:val="26"/>
      <w:szCs w:val="26"/>
    </w:rPr>
  </w:style>
  <w:style w:type="character" w:customStyle="1" w:styleId="Nadpis3Char">
    <w:name w:val="Nadpis 3 Char"/>
    <w:basedOn w:val="Standardnpsmoodstavce"/>
    <w:link w:val="Nadpis3"/>
    <w:uiPriority w:val="9"/>
    <w:rsid w:val="00904773"/>
    <w:rPr>
      <w:rFonts w:asciiTheme="majorHAnsi" w:eastAsiaTheme="majorEastAsia" w:hAnsiTheme="majorHAnsi" w:cstheme="majorBidi"/>
      <w:color w:val="C8102E" w:themeColor="accent1"/>
      <w:sz w:val="24"/>
      <w:szCs w:val="24"/>
    </w:rPr>
  </w:style>
  <w:style w:type="character" w:customStyle="1" w:styleId="Nadpis4Char">
    <w:name w:val="Nadpis 4 Char"/>
    <w:basedOn w:val="Standardnpsmoodstavce"/>
    <w:link w:val="Nadpis4"/>
    <w:uiPriority w:val="9"/>
    <w:rsid w:val="00904773"/>
    <w:rPr>
      <w:rFonts w:asciiTheme="majorHAnsi" w:eastAsiaTheme="majorEastAsia" w:hAnsiTheme="majorHAnsi" w:cstheme="majorBidi"/>
      <w:i/>
      <w:iCs/>
      <w:color w:val="0C2340" w:themeColor="accent2"/>
    </w:rPr>
  </w:style>
  <w:style w:type="character" w:customStyle="1" w:styleId="Nadpis5Char">
    <w:name w:val="Nadpis 5 Char"/>
    <w:basedOn w:val="Standardnpsmoodstavce"/>
    <w:link w:val="Nadpis5"/>
    <w:uiPriority w:val="9"/>
    <w:semiHidden/>
    <w:rsid w:val="00904773"/>
    <w:rPr>
      <w:rFonts w:asciiTheme="majorHAnsi" w:eastAsiaTheme="majorEastAsia" w:hAnsiTheme="majorHAnsi" w:cstheme="majorBidi"/>
      <w:color w:val="0C2340" w:themeColor="accent2"/>
    </w:rPr>
  </w:style>
  <w:style w:type="paragraph" w:styleId="Textbubliny">
    <w:name w:val="Balloon Text"/>
    <w:basedOn w:val="Normln"/>
    <w:link w:val="TextbublinyChar"/>
    <w:uiPriority w:val="99"/>
    <w:semiHidden/>
    <w:unhideWhenUsed/>
    <w:rsid w:val="00C06E67"/>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06E67"/>
    <w:rPr>
      <w:rFonts w:ascii="Segoe UI" w:hAnsi="Segoe UI" w:cs="Segoe UI"/>
      <w:sz w:val="18"/>
      <w:szCs w:val="18"/>
    </w:rPr>
  </w:style>
  <w:style w:type="character" w:styleId="Hypertextovodkaz">
    <w:name w:val="Hyperlink"/>
    <w:basedOn w:val="Standardnpsmoodstavce"/>
    <w:uiPriority w:val="99"/>
    <w:unhideWhenUsed/>
    <w:rsid w:val="006C71BE"/>
    <w:rPr>
      <w:color w:val="1D569B" w:themeColor="hyperlink"/>
      <w:u w:val="single"/>
    </w:rPr>
  </w:style>
  <w:style w:type="paragraph" w:styleId="Textpoznpodarou">
    <w:name w:val="footnote text"/>
    <w:basedOn w:val="Normln"/>
    <w:link w:val="TextpoznpodarouChar"/>
    <w:uiPriority w:val="99"/>
    <w:unhideWhenUsed/>
    <w:rsid w:val="00CD2946"/>
    <w:pPr>
      <w:spacing w:before="120" w:line="240" w:lineRule="auto"/>
    </w:pPr>
    <w:rPr>
      <w:rFonts w:ascii="Times New Roman" w:eastAsia="SimSun" w:hAnsi="Times New Roman" w:cs="Times New Roman"/>
      <w:sz w:val="20"/>
      <w:szCs w:val="20"/>
      <w:lang w:eastAsia="zh-CN"/>
    </w:rPr>
  </w:style>
  <w:style w:type="character" w:customStyle="1" w:styleId="TextpoznpodarouChar">
    <w:name w:val="Text pozn. pod čarou Char"/>
    <w:basedOn w:val="Standardnpsmoodstavce"/>
    <w:link w:val="Textpoznpodarou"/>
    <w:uiPriority w:val="99"/>
    <w:rsid w:val="00CD2946"/>
    <w:rPr>
      <w:rFonts w:ascii="Times New Roman" w:eastAsia="SimSun" w:hAnsi="Times New Roman" w:cs="Times New Roman"/>
      <w:sz w:val="20"/>
      <w:szCs w:val="20"/>
      <w:lang w:eastAsia="zh-CN"/>
    </w:rPr>
  </w:style>
  <w:style w:type="character" w:styleId="Znakapoznpodarou">
    <w:name w:val="footnote reference"/>
    <w:uiPriority w:val="99"/>
    <w:unhideWhenUsed/>
    <w:rsid w:val="00CD2946"/>
    <w:rPr>
      <w:vertAlign w:val="superscript"/>
    </w:rPr>
  </w:style>
  <w:style w:type="paragraph" w:styleId="Odstavecseseznamem">
    <w:name w:val="List Paragraph"/>
    <w:basedOn w:val="Normln"/>
    <w:uiPriority w:val="34"/>
    <w:qFormat/>
    <w:rsid w:val="009C3B4B"/>
    <w:pPr>
      <w:spacing w:after="160"/>
      <w:ind w:left="720"/>
      <w:contextualSpacing/>
    </w:pPr>
  </w:style>
  <w:style w:type="character" w:styleId="Odkaznakoment">
    <w:name w:val="annotation reference"/>
    <w:basedOn w:val="Standardnpsmoodstavce"/>
    <w:uiPriority w:val="99"/>
    <w:semiHidden/>
    <w:unhideWhenUsed/>
    <w:rsid w:val="00386F66"/>
    <w:rPr>
      <w:sz w:val="16"/>
      <w:szCs w:val="16"/>
    </w:rPr>
  </w:style>
  <w:style w:type="paragraph" w:styleId="Textkomente">
    <w:name w:val="annotation text"/>
    <w:basedOn w:val="Normln"/>
    <w:link w:val="TextkomenteChar"/>
    <w:uiPriority w:val="99"/>
    <w:semiHidden/>
    <w:unhideWhenUsed/>
    <w:rsid w:val="00386F66"/>
    <w:pPr>
      <w:spacing w:line="240" w:lineRule="auto"/>
    </w:pPr>
    <w:rPr>
      <w:sz w:val="20"/>
      <w:szCs w:val="20"/>
    </w:rPr>
  </w:style>
  <w:style w:type="character" w:customStyle="1" w:styleId="TextkomenteChar">
    <w:name w:val="Text komentáře Char"/>
    <w:basedOn w:val="Standardnpsmoodstavce"/>
    <w:link w:val="Textkomente"/>
    <w:uiPriority w:val="99"/>
    <w:semiHidden/>
    <w:rsid w:val="00386F66"/>
    <w:rPr>
      <w:sz w:val="20"/>
      <w:szCs w:val="20"/>
    </w:rPr>
  </w:style>
  <w:style w:type="paragraph" w:styleId="Pedmtkomente">
    <w:name w:val="annotation subject"/>
    <w:basedOn w:val="Textkomente"/>
    <w:next w:val="Textkomente"/>
    <w:link w:val="PedmtkomenteChar"/>
    <w:uiPriority w:val="99"/>
    <w:semiHidden/>
    <w:unhideWhenUsed/>
    <w:rsid w:val="00386F66"/>
    <w:rPr>
      <w:b/>
      <w:bCs/>
    </w:rPr>
  </w:style>
  <w:style w:type="character" w:customStyle="1" w:styleId="PedmtkomenteChar">
    <w:name w:val="Předmět komentáře Char"/>
    <w:basedOn w:val="TextkomenteChar"/>
    <w:link w:val="Pedmtkomente"/>
    <w:uiPriority w:val="99"/>
    <w:semiHidden/>
    <w:rsid w:val="00386F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291327">
      <w:bodyDiv w:val="1"/>
      <w:marLeft w:val="0"/>
      <w:marRight w:val="0"/>
      <w:marTop w:val="0"/>
      <w:marBottom w:val="0"/>
      <w:divBdr>
        <w:top w:val="none" w:sz="0" w:space="0" w:color="auto"/>
        <w:left w:val="none" w:sz="0" w:space="0" w:color="auto"/>
        <w:bottom w:val="none" w:sz="0" w:space="0" w:color="auto"/>
        <w:right w:val="none" w:sz="0" w:space="0" w:color="auto"/>
      </w:divBdr>
    </w:div>
    <w:div w:id="103450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filsakova@ewingpr.cz"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lsakova\Desktop\&#353;ablona_TZ.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Dokumenty\TRIKAYA\Projekty%20v%20Brn&#283;\2018_03\grafy.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Dokumenty\TRIKAYA\Projekty%20v%20Brn&#283;\2017_03\podklady%20ke%20graf&#367;m%20v%20textu.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1" i="0" u="none" strike="noStrike" kern="1200" cap="all" spc="150" baseline="0">
                <a:solidFill>
                  <a:schemeClr val="tx1">
                    <a:lumMod val="50000"/>
                    <a:lumOff val="50000"/>
                  </a:schemeClr>
                </a:solidFill>
                <a:latin typeface="+mn-lt"/>
                <a:ea typeface="+mn-ea"/>
                <a:cs typeface="+mn-cs"/>
              </a:defRPr>
            </a:pPr>
            <a:r>
              <a:rPr lang="cs-CZ" sz="1400" dirty="0"/>
              <a:t>Vývoj průměrné ceny volných bytů</a:t>
            </a:r>
            <a:endParaRPr lang="en-US" sz="1400" dirty="0"/>
          </a:p>
        </c:rich>
      </c:tx>
      <c:overlay val="0"/>
      <c:spPr>
        <a:noFill/>
        <a:ln>
          <a:noFill/>
        </a:ln>
        <a:effectLst/>
      </c:spPr>
      <c:txPr>
        <a:bodyPr rot="0" spcFirstLastPara="1" vertOverflow="ellipsis" vert="horz" wrap="square" anchor="ctr" anchorCtr="1"/>
        <a:lstStyle/>
        <a:p>
          <a:pPr>
            <a:defRPr sz="1400" b="1" i="0" u="none" strike="noStrike" kern="1200" cap="all" spc="150" baseline="0">
              <a:solidFill>
                <a:schemeClr val="tx1">
                  <a:lumMod val="50000"/>
                  <a:lumOff val="50000"/>
                </a:schemeClr>
              </a:solidFill>
              <a:latin typeface="+mn-lt"/>
              <a:ea typeface="+mn-ea"/>
              <a:cs typeface="+mn-cs"/>
            </a:defRPr>
          </a:pPr>
          <a:endParaRPr lang="cs-CZ"/>
        </a:p>
      </c:txPr>
    </c:title>
    <c:autoTitleDeleted val="0"/>
    <c:plotArea>
      <c:layout/>
      <c:barChart>
        <c:barDir val="col"/>
        <c:grouping val="clustered"/>
        <c:varyColors val="0"/>
        <c:ser>
          <c:idx val="0"/>
          <c:order val="0"/>
          <c:spPr>
            <a:solidFill>
              <a:srgbClr val="C00000"/>
            </a:solidFill>
            <a:ln>
              <a:noFill/>
            </a:ln>
            <a:effectLst>
              <a:innerShdw blurRad="114300">
                <a:schemeClr val="accent2"/>
              </a:innerShdw>
            </a:effectLst>
          </c:spPr>
          <c:invertIfNegative val="0"/>
          <c:dLbls>
            <c:dLbl>
              <c:idx val="1"/>
              <c:layout>
                <c:manualLayout>
                  <c:x val="4.410143329658214E-3"/>
                  <c:y val="9.73236009732351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F84-4200-818D-2451F7980A87}"/>
                </c:ext>
              </c:extLst>
            </c:dLbl>
            <c:dLbl>
              <c:idx val="2"/>
              <c:layout>
                <c:manualLayout>
                  <c:x val="-4.4101433296582547E-3"/>
                  <c:y val="1.946472019464720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F84-4200-818D-2451F7980A87}"/>
                </c:ext>
              </c:extLst>
            </c:dLbl>
            <c:dLbl>
              <c:idx val="3"/>
              <c:layout>
                <c:manualLayout>
                  <c:x val="1.7640573318632856E-2"/>
                  <c:y val="1.459854014598540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F84-4200-818D-2451F7980A87}"/>
                </c:ext>
              </c:extLst>
            </c:dLbl>
            <c:dLbl>
              <c:idx val="5"/>
              <c:layout>
                <c:manualLayout>
                  <c:x val="0"/>
                  <c:y val="1.946472019464711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F84-4200-818D-2451F7980A87}"/>
                </c:ext>
              </c:extLst>
            </c:dLbl>
            <c:dLbl>
              <c:idx val="6"/>
              <c:layout>
                <c:manualLayout>
                  <c:x val="0"/>
                  <c:y val="-4.866180048661800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F84-4200-818D-2451F7980A87}"/>
                </c:ext>
              </c:extLst>
            </c:dLbl>
            <c:dLbl>
              <c:idx val="11"/>
              <c:layout>
                <c:manualLayout>
                  <c:x val="0"/>
                  <c:y val="-5.569274224092549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51F-46CC-A263-9A965D6EA717}"/>
                </c:ext>
              </c:extLst>
            </c:dLbl>
            <c:dLbl>
              <c:idx val="13"/>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extLst>
                <c:ext xmlns:c16="http://schemas.microsoft.com/office/drawing/2014/chart" uri="{C3380CC4-5D6E-409C-BE32-E72D297353CC}">
                  <c16:uniqueId val="{00000005-CF84-4200-818D-2451F7980A87}"/>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trendline>
            <c:spPr>
              <a:ln w="15875" cap="rnd">
                <a:solidFill>
                  <a:srgbClr val="C00000"/>
                </a:solidFill>
                <a:prstDash val="sysDot"/>
              </a:ln>
              <a:effectLst/>
            </c:spPr>
            <c:trendlineType val="poly"/>
            <c:order val="3"/>
            <c:forward val="2"/>
            <c:dispRSqr val="0"/>
            <c:dispEq val="0"/>
          </c:trendline>
          <c:cat>
            <c:strRef>
              <c:f>List1!$E$36:$E$49</c:f>
              <c:strCache>
                <c:ptCount val="14"/>
                <c:pt idx="0">
                  <c:v>Q1 2016</c:v>
                </c:pt>
                <c:pt idx="1">
                  <c:v>Q2 2016</c:v>
                </c:pt>
                <c:pt idx="2">
                  <c:v>Q3 2016</c:v>
                </c:pt>
                <c:pt idx="3">
                  <c:v>Q4 2016</c:v>
                </c:pt>
                <c:pt idx="4">
                  <c:v>Q1 2017</c:v>
                </c:pt>
                <c:pt idx="5">
                  <c:v>Q2 2017</c:v>
                </c:pt>
                <c:pt idx="6">
                  <c:v>Q3 2017</c:v>
                </c:pt>
                <c:pt idx="7">
                  <c:v>Q4 2017</c:v>
                </c:pt>
                <c:pt idx="8">
                  <c:v>Q1 2018</c:v>
                </c:pt>
                <c:pt idx="9">
                  <c:v>Q2 2018</c:v>
                </c:pt>
                <c:pt idx="10">
                  <c:v>Q3 2018</c:v>
                </c:pt>
                <c:pt idx="11">
                  <c:v>Q4 2018</c:v>
                </c:pt>
                <c:pt idx="12">
                  <c:v>Q1 2019</c:v>
                </c:pt>
                <c:pt idx="13">
                  <c:v>Q2 2019</c:v>
                </c:pt>
              </c:strCache>
            </c:strRef>
          </c:cat>
          <c:val>
            <c:numRef>
              <c:f>List1!$F$36:$F$49</c:f>
              <c:numCache>
                <c:formatCode>_-* #,##0\ "Kč"_-;\-* #,##0\ "Kč"_-;_-* "-"??\ "Kč"_-;_-@_-</c:formatCode>
                <c:ptCount val="14"/>
                <c:pt idx="0">
                  <c:v>56569</c:v>
                </c:pt>
                <c:pt idx="1">
                  <c:v>55596</c:v>
                </c:pt>
                <c:pt idx="2">
                  <c:v>59311</c:v>
                </c:pt>
                <c:pt idx="3">
                  <c:v>59311</c:v>
                </c:pt>
                <c:pt idx="4">
                  <c:v>61337</c:v>
                </c:pt>
                <c:pt idx="5">
                  <c:v>64594</c:v>
                </c:pt>
                <c:pt idx="6">
                  <c:v>65359</c:v>
                </c:pt>
                <c:pt idx="7">
                  <c:v>67976</c:v>
                </c:pt>
                <c:pt idx="8">
                  <c:v>73074.371487960307</c:v>
                </c:pt>
                <c:pt idx="9">
                  <c:v>71035</c:v>
                </c:pt>
                <c:pt idx="10">
                  <c:v>75800</c:v>
                </c:pt>
                <c:pt idx="11">
                  <c:v>75481</c:v>
                </c:pt>
                <c:pt idx="12">
                  <c:v>76500</c:v>
                </c:pt>
                <c:pt idx="13">
                  <c:v>80583</c:v>
                </c:pt>
              </c:numCache>
            </c:numRef>
          </c:val>
          <c:extLst>
            <c:ext xmlns:c16="http://schemas.microsoft.com/office/drawing/2014/chart" uri="{C3380CC4-5D6E-409C-BE32-E72D297353CC}">
              <c16:uniqueId val="{00000003-651F-46CC-A263-9A965D6EA717}"/>
            </c:ext>
          </c:extLst>
        </c:ser>
        <c:dLbls>
          <c:showLegendKey val="0"/>
          <c:showVal val="0"/>
          <c:showCatName val="0"/>
          <c:showSerName val="0"/>
          <c:showPercent val="0"/>
          <c:showBubbleSize val="0"/>
        </c:dLbls>
        <c:gapWidth val="164"/>
        <c:overlap val="-22"/>
        <c:axId val="167809544"/>
        <c:axId val="167814024"/>
      </c:barChart>
      <c:catAx>
        <c:axId val="167809544"/>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cs-CZ"/>
          </a:p>
        </c:txPr>
        <c:crossAx val="167814024"/>
        <c:crosses val="autoZero"/>
        <c:auto val="1"/>
        <c:lblAlgn val="ctr"/>
        <c:lblOffset val="100"/>
        <c:noMultiLvlLbl val="0"/>
      </c:catAx>
      <c:valAx>
        <c:axId val="167814024"/>
        <c:scaling>
          <c:orientation val="minMax"/>
          <c:min val="50000"/>
        </c:scaling>
        <c:delete val="0"/>
        <c:axPos val="l"/>
        <c:numFmt formatCode="_-* #,##0\ &quot;Kč&quot;_-;\-* #,##0\ &quot;Kč&quot;_-;_-* &quot;-&quot;??\ &quot;Kč&quot;_-;_-@_-"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cs-CZ"/>
          </a:p>
        </c:txPr>
        <c:crossAx val="1678095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Prodeje nových bytů v Brně</a:t>
            </a:r>
            <a:endParaRPr lang="en-US"/>
          </a:p>
        </c:rich>
      </c:tx>
      <c:layout>
        <c:manualLayout>
          <c:xMode val="edge"/>
          <c:yMode val="edge"/>
          <c:x val="0.34553644313774085"/>
          <c:y val="3.0188679245283019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manualLayout>
          <c:layoutTarget val="inner"/>
          <c:xMode val="edge"/>
          <c:yMode val="edge"/>
          <c:x val="8.2474223215466769E-2"/>
          <c:y val="0.24336513443191674"/>
          <c:w val="0.91262348837695018"/>
          <c:h val="0.58789646090422565"/>
        </c:manualLayout>
      </c:layout>
      <c:barChart>
        <c:barDir val="col"/>
        <c:grouping val="clustered"/>
        <c:varyColors val="0"/>
        <c:ser>
          <c:idx val="0"/>
          <c:order val="0"/>
          <c:spPr>
            <a:solidFill>
              <a:schemeClr val="accent1">
                <a:lumMod val="75000"/>
              </a:schemeClr>
            </a:solidFill>
            <a:ln>
              <a:solidFill>
                <a:srgbClr val="C00000"/>
              </a:solidFill>
            </a:ln>
            <a:effectLst/>
          </c:spPr>
          <c:invertIfNegative val="0"/>
          <c:dLbls>
            <c:dLbl>
              <c:idx val="13"/>
              <c:tx>
                <c:rich>
                  <a:bodyPr/>
                  <a:lstStyle/>
                  <a:p>
                    <a:r>
                      <a:rPr lang="en-US"/>
                      <a:t>298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FC8-4BA5-84F9-2818DA722DD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List1!$S$3:$S$24</c:f>
              <c:strCache>
                <c:ptCount val="22"/>
                <c:pt idx="0">
                  <c:v>Q1 2014</c:v>
                </c:pt>
                <c:pt idx="1">
                  <c:v>Q2 2014</c:v>
                </c:pt>
                <c:pt idx="2">
                  <c:v>Q3 2014</c:v>
                </c:pt>
                <c:pt idx="3">
                  <c:v>Q4 2014</c:v>
                </c:pt>
                <c:pt idx="4">
                  <c:v>Q1 2015</c:v>
                </c:pt>
                <c:pt idx="5">
                  <c:v>Q2 2015</c:v>
                </c:pt>
                <c:pt idx="6">
                  <c:v>Q3 2015</c:v>
                </c:pt>
                <c:pt idx="7">
                  <c:v>Q4 2015</c:v>
                </c:pt>
                <c:pt idx="8">
                  <c:v>Q1 2016</c:v>
                </c:pt>
                <c:pt idx="9">
                  <c:v>Q2 2016</c:v>
                </c:pt>
                <c:pt idx="10">
                  <c:v>Q3 2016</c:v>
                </c:pt>
                <c:pt idx="11">
                  <c:v>Q4 2016</c:v>
                </c:pt>
                <c:pt idx="12">
                  <c:v>Q1 2017</c:v>
                </c:pt>
                <c:pt idx="13">
                  <c:v>Q2 2017</c:v>
                </c:pt>
                <c:pt idx="14">
                  <c:v>Q3 2017</c:v>
                </c:pt>
                <c:pt idx="15">
                  <c:v>Q4 2017</c:v>
                </c:pt>
                <c:pt idx="16">
                  <c:v>Q1 2018</c:v>
                </c:pt>
                <c:pt idx="17">
                  <c:v>Q2 2018</c:v>
                </c:pt>
                <c:pt idx="18">
                  <c:v>Q3 2018</c:v>
                </c:pt>
                <c:pt idx="19">
                  <c:v>Q4 2018</c:v>
                </c:pt>
                <c:pt idx="20">
                  <c:v>Q1 2019 </c:v>
                </c:pt>
                <c:pt idx="21">
                  <c:v>Q2 2019</c:v>
                </c:pt>
              </c:strCache>
            </c:strRef>
          </c:cat>
          <c:val>
            <c:numRef>
              <c:f>List1!$T$3:$T$24</c:f>
              <c:numCache>
                <c:formatCode>General</c:formatCode>
                <c:ptCount val="22"/>
                <c:pt idx="0">
                  <c:v>181</c:v>
                </c:pt>
                <c:pt idx="1">
                  <c:v>255</c:v>
                </c:pt>
                <c:pt idx="2">
                  <c:v>167</c:v>
                </c:pt>
                <c:pt idx="3">
                  <c:v>221</c:v>
                </c:pt>
                <c:pt idx="4">
                  <c:v>272</c:v>
                </c:pt>
                <c:pt idx="5">
                  <c:v>272</c:v>
                </c:pt>
                <c:pt idx="6">
                  <c:v>172</c:v>
                </c:pt>
                <c:pt idx="7">
                  <c:v>238</c:v>
                </c:pt>
                <c:pt idx="8">
                  <c:v>378</c:v>
                </c:pt>
                <c:pt idx="9">
                  <c:v>559</c:v>
                </c:pt>
                <c:pt idx="10">
                  <c:v>258</c:v>
                </c:pt>
                <c:pt idx="11">
                  <c:v>312</c:v>
                </c:pt>
                <c:pt idx="12">
                  <c:v>224</c:v>
                </c:pt>
                <c:pt idx="13">
                  <c:v>298</c:v>
                </c:pt>
                <c:pt idx="14">
                  <c:v>239</c:v>
                </c:pt>
                <c:pt idx="15">
                  <c:v>163</c:v>
                </c:pt>
                <c:pt idx="16">
                  <c:v>88</c:v>
                </c:pt>
                <c:pt idx="17">
                  <c:v>141</c:v>
                </c:pt>
                <c:pt idx="18">
                  <c:v>223</c:v>
                </c:pt>
                <c:pt idx="19">
                  <c:v>183</c:v>
                </c:pt>
                <c:pt idx="20">
                  <c:v>293</c:v>
                </c:pt>
                <c:pt idx="21">
                  <c:v>166</c:v>
                </c:pt>
              </c:numCache>
            </c:numRef>
          </c:val>
          <c:extLst>
            <c:ext xmlns:c16="http://schemas.microsoft.com/office/drawing/2014/chart" uri="{C3380CC4-5D6E-409C-BE32-E72D297353CC}">
              <c16:uniqueId val="{00000001-5FC8-4BA5-84F9-2818DA722DDC}"/>
            </c:ext>
          </c:extLst>
        </c:ser>
        <c:dLbls>
          <c:dLblPos val="outEnd"/>
          <c:showLegendKey val="0"/>
          <c:showVal val="1"/>
          <c:showCatName val="0"/>
          <c:showSerName val="0"/>
          <c:showPercent val="0"/>
          <c:showBubbleSize val="0"/>
        </c:dLbls>
        <c:gapWidth val="219"/>
        <c:overlap val="-27"/>
        <c:axId val="167880712"/>
        <c:axId val="167885192"/>
      </c:barChart>
      <c:catAx>
        <c:axId val="167880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67885192"/>
        <c:crosses val="autoZero"/>
        <c:auto val="1"/>
        <c:lblAlgn val="ctr"/>
        <c:lblOffset val="100"/>
        <c:noMultiLvlLbl val="0"/>
      </c:catAx>
      <c:valAx>
        <c:axId val="1678851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678807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withinLinear" id="15">
  <a:schemeClr val="accent2"/>
</cs:colorStyle>
</file>

<file path=word/charts/colors2.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1197"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1197"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1197"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22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Trikaya">
      <a:dk1>
        <a:sysClr val="windowText" lastClr="000000"/>
      </a:dk1>
      <a:lt1>
        <a:sysClr val="window" lastClr="FFFFFF"/>
      </a:lt1>
      <a:dk2>
        <a:srgbClr val="44546A"/>
      </a:dk2>
      <a:lt2>
        <a:srgbClr val="E7E6E6"/>
      </a:lt2>
      <a:accent1>
        <a:srgbClr val="C8102E"/>
      </a:accent1>
      <a:accent2>
        <a:srgbClr val="0C2340"/>
      </a:accent2>
      <a:accent3>
        <a:srgbClr val="A8AD00"/>
      </a:accent3>
      <a:accent4>
        <a:srgbClr val="84329B"/>
      </a:accent4>
      <a:accent5>
        <a:srgbClr val="00B0B9"/>
      </a:accent5>
      <a:accent6>
        <a:srgbClr val="F2A900"/>
      </a:accent6>
      <a:hlink>
        <a:srgbClr val="1D569B"/>
      </a:hlink>
      <a:folHlink>
        <a:srgbClr val="EE2A4B"/>
      </a:folHlink>
    </a:clrScheme>
    <a:fontScheme name="Trikaya">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75F97-4435-4156-A830-C28033771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šablona_TZ</Template>
  <TotalTime>75</TotalTime>
  <Pages>3</Pages>
  <Words>691</Words>
  <Characters>4083</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Filsaková</dc:creator>
  <cp:keywords/>
  <dc:description/>
  <cp:lastModifiedBy>fsudrich</cp:lastModifiedBy>
  <cp:revision>8</cp:revision>
  <cp:lastPrinted>2019-01-21T07:55:00Z</cp:lastPrinted>
  <dcterms:created xsi:type="dcterms:W3CDTF">2019-07-15T07:51:00Z</dcterms:created>
  <dcterms:modified xsi:type="dcterms:W3CDTF">2019-10-29T12:02:00Z</dcterms:modified>
</cp:coreProperties>
</file>